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jc w:val="center"/>
      </w:pPr>
      <w:r>
        <w:rPr>
          <w:rFonts w:ascii="Arial" w:cs="Arial" w:eastAsia="Arial" w:hAnsi="Arial"/>
          <w:b/>
          <w:bCs/>
          <w:color w:val="1B4F72"/>
          <w:sz w:val="44"/>
          <w:szCs w:val="44"/>
        </w:rPr>
        <w:t xml:space="preserve">MARINE CONSERVATION CREDITS</w:t>
      </w:r>
    </w:p>
    <w:p>
      <w:pPr>
        <w:jc w:val="center"/>
      </w:pPr>
      <w:r>
        <w:rPr>
          <w:rFonts w:ascii="Arial" w:cs="Arial" w:eastAsia="Arial" w:hAnsi="Arial"/>
          <w:color w:val="2E86C1"/>
          <w:sz w:val="36"/>
          <w:szCs w:val="36"/>
        </w:rPr>
        <w:t xml:space="preserve">Sustainable Development Contribution Framework v1.0</w:t>
      </w:r>
    </w:p>
    <w:p>
      <w:pPr>
        <w:spacing w:before="400"/>
        <w:jc w:val="center"/>
      </w:pPr>
      <w:r>
        <w:rPr>
          <w:rFonts w:ascii="Arial" w:cs="Arial" w:eastAsia="Arial" w:hAnsi="Arial"/>
          <w:color w:val="666666"/>
          <w:sz w:val="22"/>
          <w:szCs w:val="22"/>
        </w:rPr>
        <w:t xml:space="preserve">Document Reference: MCC-SDCF-v1.0</w:t>
      </w:r>
    </w:p>
    <w:p>
      <w:pPr>
        <w:jc w:val="center"/>
      </w:pPr>
      <w:r>
        <w:rPr>
          <w:rFonts w:ascii="Arial" w:cs="Arial" w:eastAsia="Arial" w:hAnsi="Arial"/>
          <w:color w:val="666666"/>
          <w:sz w:val="22"/>
          <w:szCs w:val="22"/>
        </w:rPr>
        <w:t xml:space="preserve">Classification: Programme Standard | Date: March 2026</w:t>
      </w:r>
    </w:p>
    <w:p>
      <w:pPr>
        <w:jc w:val="center"/>
      </w:pPr>
      <w:r>
        <w:rPr>
          <w:rFonts w:ascii="Arial" w:cs="Arial" w:eastAsia="Arial" w:hAnsi="Arial"/>
          <w:b/>
          <w:bCs/>
          <w:color w:val="27AE60"/>
          <w:sz w:val="22"/>
          <w:szCs w:val="22"/>
        </w:rPr>
        <w:t xml:space="preserve">Status: APPROVED</w:t>
      </w:r>
    </w:p>
    <w:p>
      <w:r>
        <w:br w:type="page"/>
      </w:r>
    </w:p>
    <w:p>
      <w:pPr>
        <w:pStyle w:val="Heading1"/>
      </w:pPr>
      <w:r>
        <w:rPr>
          <w:rFonts w:ascii="Arial" w:cs="Arial" w:eastAsia="Arial" w:hAnsi="Arial"/>
          <w:b/>
          <w:bCs/>
          <w:sz w:val="32"/>
          <w:szCs w:val="32"/>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r>
        <w:br w:type="page"/>
      </w:r>
    </w:p>
    <w:p>
      <w:pPr>
        <w:pStyle w:val="Heading1"/>
        <w:spacing w:before="360" w:after="240"/>
      </w:pPr>
      <w:r>
        <w:rPr>
          <w:rFonts w:ascii="Arial" w:cs="Arial" w:eastAsia="Arial" w:hAnsi="Arial"/>
          <w:b/>
          <w:bCs/>
          <w:color w:val="1B4F72"/>
          <w:sz w:val="32"/>
          <w:szCs w:val="32"/>
        </w:rPr>
        <w:t xml:space="preserve">PURPOSE AND SCOPE</w:t>
      </w:r>
    </w:p>
    <w:p>
      <w:pPr>
        <w:spacing w:after="120"/>
      </w:pPr>
      <w:r>
        <w:rPr>
          <w:rFonts w:ascii="Arial" w:cs="Arial" w:eastAsia="Arial" w:hAnsi="Arial"/>
          <w:b/>
          <w:bCs/>
          <w:color w:val="1B4F72"/>
          <w:sz w:val="22"/>
          <w:szCs w:val="22"/>
        </w:rPr>
        <w:t xml:space="preserve">0001  </w:t>
      </w:r>
      <w:r>
        <w:rPr>
          <w:rFonts w:ascii="Arial" w:cs="Arial" w:eastAsia="Arial" w:hAnsi="Arial"/>
          <w:sz w:val="22"/>
          <w:szCs w:val="22"/>
        </w:rPr>
        <w:t xml:space="preserve">All MCC projects shall undergo a sustainable development (SD) contribution assessment as a mandatory requirement for project eligibility.</w:t>
      </w:r>
    </w:p>
    <w:p>
      <w:pPr>
        <w:spacing w:after="120"/>
      </w:pPr>
      <w:r>
        <w:rPr>
          <w:rFonts w:ascii="Arial" w:cs="Arial" w:eastAsia="Arial" w:hAnsi="Arial"/>
          <w:b/>
          <w:bCs/>
          <w:color w:val="1B4F72"/>
          <w:sz w:val="22"/>
          <w:szCs w:val="22"/>
        </w:rPr>
        <w:t xml:space="preserve">0002  </w:t>
      </w:r>
      <w:r>
        <w:rPr>
          <w:rFonts w:ascii="Arial" w:cs="Arial" w:eastAsia="Arial" w:hAnsi="Arial"/>
          <w:sz w:val="22"/>
          <w:szCs w:val="22"/>
        </w:rPr>
        <w:t xml:space="preserve">The purpose of this framework shall be to ensure that MCC credit issuance directly links to measurable sustainable development outcomes beyond carbon sequestration and avoidance.</w:t>
      </w:r>
    </w:p>
    <w:p>
      <w:pPr>
        <w:spacing w:after="120"/>
      </w:pPr>
      <w:r>
        <w:rPr>
          <w:rFonts w:ascii="Arial" w:cs="Arial" w:eastAsia="Arial" w:hAnsi="Arial"/>
          <w:b/>
          <w:bCs/>
          <w:color w:val="1B4F72"/>
          <w:sz w:val="22"/>
          <w:szCs w:val="22"/>
        </w:rPr>
        <w:t xml:space="preserve">0003  </w:t>
      </w:r>
      <w:r>
        <w:rPr>
          <w:rFonts w:ascii="Arial" w:cs="Arial" w:eastAsia="Arial" w:hAnsi="Arial"/>
          <w:sz w:val="22"/>
          <w:szCs w:val="22"/>
        </w:rPr>
        <w:t xml:space="preserve">This SD Contribution Framework shall establish the methodology for identifying, measuring, monitoring, and verifying SD contributions across all MCC project activities.</w:t>
      </w:r>
    </w:p>
    <w:p>
      <w:pPr>
        <w:spacing w:after="120"/>
      </w:pPr>
      <w:r>
        <w:rPr>
          <w:rFonts w:ascii="Arial" w:cs="Arial" w:eastAsia="Arial" w:hAnsi="Arial"/>
          <w:b/>
          <w:bCs/>
          <w:color w:val="1B4F72"/>
          <w:sz w:val="22"/>
          <w:szCs w:val="22"/>
        </w:rPr>
        <w:t xml:space="preserve">0004  </w:t>
      </w:r>
      <w:r>
        <w:rPr>
          <w:rFonts w:ascii="Arial" w:cs="Arial" w:eastAsia="Arial" w:hAnsi="Arial"/>
          <w:sz w:val="22"/>
          <w:szCs w:val="22"/>
        </w:rPr>
        <w:t xml:space="preserve">The framework shall apply to all MCC methodologies and project types registered on the MCC platform.</w:t>
      </w:r>
    </w:p>
    <w:p>
      <w:pPr>
        <w:spacing w:after="120"/>
      </w:pPr>
      <w:r>
        <w:rPr>
          <w:rFonts w:ascii="Arial" w:cs="Arial" w:eastAsia="Arial" w:hAnsi="Arial"/>
          <w:b/>
          <w:bCs/>
          <w:color w:val="1B4F72"/>
          <w:sz w:val="22"/>
          <w:szCs w:val="22"/>
        </w:rPr>
        <w:t xml:space="preserve">0005  </w:t>
      </w:r>
      <w:r>
        <w:rPr>
          <w:rFonts w:ascii="Arial" w:cs="Arial" w:eastAsia="Arial" w:hAnsi="Arial"/>
          <w:sz w:val="22"/>
          <w:szCs w:val="22"/>
        </w:rPr>
        <w:t xml:space="preserve">SD contribution assessment shall commence at project design stage and shall continue throughout the project crediting period.</w:t>
      </w:r>
    </w:p>
    <w:p>
      <w:pPr>
        <w:spacing w:after="120"/>
      </w:pPr>
      <w:r>
        <w:rPr>
          <w:rFonts w:ascii="Arial" w:cs="Arial" w:eastAsia="Arial" w:hAnsi="Arial"/>
          <w:b/>
          <w:bCs/>
          <w:color w:val="1B4F72"/>
          <w:sz w:val="22"/>
          <w:szCs w:val="22"/>
        </w:rPr>
        <w:t xml:space="preserve">0006  </w:t>
      </w:r>
      <w:r>
        <w:rPr>
          <w:rFonts w:ascii="Arial" w:cs="Arial" w:eastAsia="Arial" w:hAnsi="Arial"/>
          <w:sz w:val="22"/>
          <w:szCs w:val="22"/>
        </w:rPr>
        <w:t xml:space="preserve">The framework shall ensure consistency in SD assessment across diverse project types through standardized indicators, measurement methods, and verification protocols.</w:t>
      </w:r>
    </w:p>
    <w:p>
      <w:pPr>
        <w:spacing w:after="120"/>
      </w:pPr>
      <w:r>
        <w:rPr>
          <w:rFonts w:ascii="Arial" w:cs="Arial" w:eastAsia="Arial" w:hAnsi="Arial"/>
          <w:b/>
          <w:bCs/>
          <w:color w:val="1B4F72"/>
          <w:sz w:val="22"/>
          <w:szCs w:val="22"/>
        </w:rPr>
        <w:t xml:space="preserve">0007  </w:t>
      </w:r>
      <w:r>
        <w:rPr>
          <w:rFonts w:ascii="Arial" w:cs="Arial" w:eastAsia="Arial" w:hAnsi="Arial"/>
          <w:sz w:val="22"/>
          <w:szCs w:val="22"/>
        </w:rPr>
        <w:t xml:space="preserve">MCC shall recognize and label projects that demonstrate significant SD contributions through the 'MCC SD Verified' and 'MCC SD Gold' designations.</w:t>
      </w:r>
    </w:p>
    <w:p>
      <w:pPr>
        <w:spacing w:after="120"/>
      </w:pPr>
      <w:r>
        <w:rPr>
          <w:rFonts w:ascii="Arial" w:cs="Arial" w:eastAsia="Arial" w:hAnsi="Arial"/>
          <w:b/>
          <w:bCs/>
          <w:color w:val="1B4F72"/>
          <w:sz w:val="22"/>
          <w:szCs w:val="22"/>
        </w:rPr>
        <w:t xml:space="preserve">0008  </w:t>
      </w:r>
      <w:r>
        <w:rPr>
          <w:rFonts w:ascii="Arial" w:cs="Arial" w:eastAsia="Arial" w:hAnsi="Arial"/>
          <w:sz w:val="22"/>
          <w:szCs w:val="22"/>
        </w:rPr>
        <w:t xml:space="preserve">SD contributions shall not increase or decrease the volume of MCC credits issued by a project, but shall enhance market value and buyer confidence.</w:t>
      </w:r>
    </w:p>
    <w:p>
      <w:pPr>
        <w:spacing w:after="120"/>
      </w:pPr>
      <w:r>
        <w:rPr>
          <w:rFonts w:ascii="Arial" w:cs="Arial" w:eastAsia="Arial" w:hAnsi="Arial"/>
          <w:b/>
          <w:bCs/>
          <w:color w:val="1B4F72"/>
          <w:sz w:val="22"/>
          <w:szCs w:val="22"/>
        </w:rPr>
        <w:t xml:space="preserve">0009  </w:t>
      </w:r>
      <w:r>
        <w:rPr>
          <w:rFonts w:ascii="Arial" w:cs="Arial" w:eastAsia="Arial" w:hAnsi="Arial"/>
          <w:sz w:val="22"/>
          <w:szCs w:val="22"/>
        </w:rPr>
        <w:t xml:space="preserve">This framework shall be aligned with international SD assessment standards including the Gold Standard Frameworks and Verra SD VISta methodology.</w:t>
      </w:r>
    </w:p>
    <w:p>
      <w:pPr>
        <w:spacing w:after="120"/>
      </w:pPr>
      <w:r>
        <w:rPr>
          <w:rFonts w:ascii="Arial" w:cs="Arial" w:eastAsia="Arial" w:hAnsi="Arial"/>
          <w:b/>
          <w:bCs/>
          <w:color w:val="1B4F72"/>
          <w:sz w:val="22"/>
          <w:szCs w:val="22"/>
        </w:rPr>
        <w:t xml:space="preserve">0010  </w:t>
      </w:r>
      <w:r>
        <w:rPr>
          <w:rFonts w:ascii="Arial" w:cs="Arial" w:eastAsia="Arial" w:hAnsi="Arial"/>
          <w:sz w:val="22"/>
          <w:szCs w:val="22"/>
        </w:rPr>
        <w:t xml:space="preserve">The SD assessment shall be transparent, verifiable, and subject to third-party validation by Validation and Verification Bodies (VVBs).</w:t>
      </w:r>
    </w:p>
    <w:p>
      <w:r>
        <w:br w:type="page"/>
      </w:r>
    </w:p>
    <w:p>
      <w:pPr>
        <w:pStyle w:val="Heading1"/>
        <w:spacing w:before="360" w:after="240"/>
      </w:pPr>
      <w:r>
        <w:rPr>
          <w:rFonts w:ascii="Arial" w:cs="Arial" w:eastAsia="Arial" w:hAnsi="Arial"/>
          <w:b/>
          <w:bCs/>
          <w:color w:val="1B4F72"/>
          <w:sz w:val="32"/>
          <w:szCs w:val="32"/>
        </w:rPr>
        <w:t xml:space="preserve">SUSTAINABLE DEVELOPMENT GOALS ALIGNMENT</w:t>
      </w:r>
    </w:p>
    <w:p>
      <w:pPr>
        <w:spacing w:after="120"/>
      </w:pPr>
      <w:r>
        <w:rPr>
          <w:rFonts w:ascii="Arial" w:cs="Arial" w:eastAsia="Arial" w:hAnsi="Arial"/>
          <w:b/>
          <w:bCs/>
          <w:color w:val="1B4F72"/>
          <w:sz w:val="22"/>
          <w:szCs w:val="22"/>
        </w:rPr>
        <w:t xml:space="preserve">0011  </w:t>
      </w:r>
      <w:r>
        <w:rPr>
          <w:rFonts w:ascii="Arial" w:cs="Arial" w:eastAsia="Arial" w:hAnsi="Arial"/>
          <w:sz w:val="22"/>
          <w:szCs w:val="22"/>
        </w:rPr>
        <w:t xml:space="preserve">The MCC SD framework shall be fully aligned with the United Nations Sustainable Development Goals (SDGs) as defined in the 2030 Agenda for Sustainable Development.</w:t>
      </w:r>
    </w:p>
    <w:p>
      <w:pPr>
        <w:spacing w:after="120"/>
      </w:pPr>
      <w:r>
        <w:rPr>
          <w:rFonts w:ascii="Arial" w:cs="Arial" w:eastAsia="Arial" w:hAnsi="Arial"/>
          <w:b/>
          <w:bCs/>
          <w:color w:val="1B4F72"/>
          <w:sz w:val="22"/>
          <w:szCs w:val="22"/>
        </w:rPr>
        <w:t xml:space="preserve">0012  </w:t>
      </w:r>
      <w:r>
        <w:rPr>
          <w:rFonts w:ascii="Arial" w:cs="Arial" w:eastAsia="Arial" w:hAnsi="Arial"/>
          <w:sz w:val="22"/>
          <w:szCs w:val="22"/>
        </w:rPr>
        <w:t xml:space="preserve">MCC shall recognize three primary SDGs as core drivers of its portfolio: SDG 13 (Climate Action), SDG 14 (Life Below Water), and SDG 15 (Life on Land).</w:t>
      </w:r>
    </w:p>
    <w:p>
      <w:pPr>
        <w:spacing w:after="120"/>
      </w:pPr>
      <w:r>
        <w:rPr>
          <w:rFonts w:ascii="Arial" w:cs="Arial" w:eastAsia="Arial" w:hAnsi="Arial"/>
          <w:b/>
          <w:bCs/>
          <w:color w:val="1B4F72"/>
          <w:sz w:val="22"/>
          <w:szCs w:val="22"/>
        </w:rPr>
        <w:t xml:space="preserve">0013  </w:t>
      </w:r>
      <w:r>
        <w:rPr>
          <w:rFonts w:ascii="Arial" w:cs="Arial" w:eastAsia="Arial" w:hAnsi="Arial"/>
          <w:sz w:val="22"/>
          <w:szCs w:val="22"/>
        </w:rPr>
        <w:t xml:space="preserve">MCC shall also recognize eight secondary SDGs relevant to specific project contexts: SDG 1 (No Poverty), SDG 2 (Zero Hunger), SDG 5 (Gender Equality), SDG 6 (Clean Water and Sanitation), SDG 8 (Decent Work and Economic Growth), and SDG 11 (Sustainable Cities and Communities).</w:t>
      </w:r>
    </w:p>
    <w:p>
      <w:pPr>
        <w:spacing w:after="120"/>
      </w:pPr>
      <w:r>
        <w:rPr>
          <w:rFonts w:ascii="Arial" w:cs="Arial" w:eastAsia="Arial" w:hAnsi="Arial"/>
          <w:b/>
          <w:bCs/>
          <w:color w:val="1B4F72"/>
          <w:sz w:val="22"/>
          <w:szCs w:val="22"/>
        </w:rPr>
        <w:t xml:space="preserve">0014  </w:t>
      </w:r>
      <w:r>
        <w:rPr>
          <w:rFonts w:ascii="Arial" w:cs="Arial" w:eastAsia="Arial" w:hAnsi="Arial"/>
          <w:sz w:val="22"/>
          <w:szCs w:val="22"/>
        </w:rPr>
        <w:t xml:space="preserve">Every MCC project shall identify and document a minimum of three SDGs to which the project shall contribute, comprising at least one primary SDG and a minimum of two secondary SDGs.</w:t>
      </w:r>
    </w:p>
    <w:p>
      <w:pPr>
        <w:spacing w:after="120"/>
      </w:pPr>
      <w:r>
        <w:rPr>
          <w:rFonts w:ascii="Arial" w:cs="Arial" w:eastAsia="Arial" w:hAnsi="Arial"/>
          <w:b/>
          <w:bCs/>
          <w:color w:val="1B4F72"/>
          <w:sz w:val="22"/>
          <w:szCs w:val="22"/>
        </w:rPr>
        <w:t xml:space="preserve">0015  </w:t>
      </w:r>
      <w:r>
        <w:rPr>
          <w:rFonts w:ascii="Arial" w:cs="Arial" w:eastAsia="Arial" w:hAnsi="Arial"/>
          <w:sz w:val="22"/>
          <w:szCs w:val="22"/>
        </w:rPr>
        <w:t xml:space="preserve">Projects shall prioritize alignment with primary SDGs based on the project's geographic location, ecosystem type, and activity category.</w:t>
      </w:r>
    </w:p>
    <w:p>
      <w:pPr>
        <w:spacing w:after="120"/>
      </w:pPr>
      <w:r>
        <w:rPr>
          <w:rFonts w:ascii="Arial" w:cs="Arial" w:eastAsia="Arial" w:hAnsi="Arial"/>
          <w:b/>
          <w:bCs/>
          <w:color w:val="1B4F72"/>
          <w:sz w:val="22"/>
          <w:szCs w:val="22"/>
        </w:rPr>
        <w:t xml:space="preserve">0016  </w:t>
      </w:r>
      <w:r>
        <w:rPr>
          <w:rFonts w:ascii="Arial" w:cs="Arial" w:eastAsia="Arial" w:hAnsi="Arial"/>
          <w:sz w:val="22"/>
          <w:szCs w:val="22"/>
        </w:rPr>
        <w:t xml:space="preserve">Secondary SDG selection shall be justified through a contextual assessment demonstrating measurable pathways from project activities to SDG targets.</w:t>
      </w:r>
    </w:p>
    <w:p>
      <w:pPr>
        <w:spacing w:after="120"/>
      </w:pPr>
      <w:r>
        <w:rPr>
          <w:rFonts w:ascii="Arial" w:cs="Arial" w:eastAsia="Arial" w:hAnsi="Arial"/>
          <w:b/>
          <w:bCs/>
          <w:color w:val="1B4F72"/>
          <w:sz w:val="22"/>
          <w:szCs w:val="22"/>
        </w:rPr>
        <w:t xml:space="preserve">0017  </w:t>
      </w:r>
      <w:r>
        <w:rPr>
          <w:rFonts w:ascii="Arial" w:cs="Arial" w:eastAsia="Arial" w:hAnsi="Arial"/>
          <w:sz w:val="22"/>
          <w:szCs w:val="22"/>
        </w:rPr>
        <w:t xml:space="preserve">Projects in developing countries with poverty challenges shall demonstrate contributions to SDG 1 (No Poverty) and SDG 2 (Zero Hunger) where feasible.</w:t>
      </w:r>
    </w:p>
    <w:p>
      <w:pPr>
        <w:spacing w:after="120"/>
      </w:pPr>
      <w:r>
        <w:rPr>
          <w:rFonts w:ascii="Arial" w:cs="Arial" w:eastAsia="Arial" w:hAnsi="Arial"/>
          <w:b/>
          <w:bCs/>
          <w:color w:val="1B4F72"/>
          <w:sz w:val="22"/>
          <w:szCs w:val="22"/>
        </w:rPr>
        <w:t xml:space="preserve">0018  </w:t>
      </w:r>
      <w:r>
        <w:rPr>
          <w:rFonts w:ascii="Arial" w:cs="Arial" w:eastAsia="Arial" w:hAnsi="Arial"/>
          <w:sz w:val="22"/>
          <w:szCs w:val="22"/>
        </w:rPr>
        <w:t xml:space="preserve">Projects shall ensure gender-responsive design and shall document contributions to SDG 5 (Gender Equality) through quantifiable women's participation targets.</w:t>
      </w:r>
    </w:p>
    <w:p>
      <w:pPr>
        <w:spacing w:after="120"/>
      </w:pPr>
      <w:r>
        <w:rPr>
          <w:rFonts w:ascii="Arial" w:cs="Arial" w:eastAsia="Arial" w:hAnsi="Arial"/>
          <w:b/>
          <w:bCs/>
          <w:color w:val="1B4F72"/>
          <w:sz w:val="22"/>
          <w:szCs w:val="22"/>
        </w:rPr>
        <w:t xml:space="preserve">0019  </w:t>
      </w:r>
      <w:r>
        <w:rPr>
          <w:rFonts w:ascii="Arial" w:cs="Arial" w:eastAsia="Arial" w:hAnsi="Arial"/>
          <w:sz w:val="22"/>
          <w:szCs w:val="22"/>
        </w:rPr>
        <w:t xml:space="preserve">SDG contribution shall be demonstrated through specific, measurable indicators defined in Section 3 of this framework.</w:t>
      </w:r>
    </w:p>
    <w:p>
      <w:pPr>
        <w:spacing w:after="120"/>
      </w:pPr>
      <w:r>
        <w:rPr>
          <w:rFonts w:ascii="Arial" w:cs="Arial" w:eastAsia="Arial" w:hAnsi="Arial"/>
          <w:b/>
          <w:bCs/>
          <w:color w:val="1B4F72"/>
          <w:sz w:val="22"/>
          <w:szCs w:val="22"/>
        </w:rPr>
        <w:t xml:space="preserve">0020  </w:t>
      </w:r>
      <w:r>
        <w:rPr>
          <w:rFonts w:ascii="Arial" w:cs="Arial" w:eastAsia="Arial" w:hAnsi="Arial"/>
          <w:sz w:val="22"/>
          <w:szCs w:val="22"/>
        </w:rPr>
        <w:t xml:space="preserve">Each identified SDG shall have one or more corresponding quantitative indicators with defined baseline values, targets, and measurement methodologies.</w:t>
      </w:r>
    </w:p>
    <w:p>
      <w:pPr>
        <w:spacing w:after="120"/>
      </w:pPr>
      <w:r>
        <w:rPr>
          <w:rFonts w:ascii="Arial" w:cs="Arial" w:eastAsia="Arial" w:hAnsi="Arial"/>
          <w:b/>
          <w:bCs/>
          <w:color w:val="1B4F72"/>
          <w:sz w:val="22"/>
          <w:szCs w:val="22"/>
        </w:rPr>
        <w:t xml:space="preserve">0021  </w:t>
      </w:r>
      <w:r>
        <w:rPr>
          <w:rFonts w:ascii="Arial" w:cs="Arial" w:eastAsia="Arial" w:hAnsi="Arial"/>
          <w:sz w:val="22"/>
          <w:szCs w:val="22"/>
        </w:rPr>
        <w:t xml:space="preserve">Projects shall not claim contribution to an SDG without establishing measurable indicators and a credible causal pathway from project activities to SDG outcomes.</w:t>
      </w:r>
    </w:p>
    <w:p>
      <w:pPr>
        <w:spacing w:after="120"/>
      </w:pPr>
      <w:r>
        <w:rPr>
          <w:rFonts w:ascii="Arial" w:cs="Arial" w:eastAsia="Arial" w:hAnsi="Arial"/>
          <w:b/>
          <w:bCs/>
          <w:color w:val="1B4F72"/>
          <w:sz w:val="22"/>
          <w:szCs w:val="22"/>
        </w:rPr>
        <w:t xml:space="preserve">0022  </w:t>
      </w:r>
      <w:r>
        <w:rPr>
          <w:rFonts w:ascii="Arial" w:cs="Arial" w:eastAsia="Arial" w:hAnsi="Arial"/>
          <w:sz w:val="22"/>
          <w:szCs w:val="22"/>
        </w:rPr>
        <w:t xml:space="preserve">SDG alignment documentation shall be subject to verification by VVBs during initial project validation and periodic verification activities.</w:t>
      </w:r>
    </w:p>
    <w:p>
      <w:pPr>
        <w:spacing w:after="120"/>
      </w:pPr>
      <w:r>
        <w:rPr>
          <w:rFonts w:ascii="Arial" w:cs="Arial" w:eastAsia="Arial" w:hAnsi="Arial"/>
          <w:b/>
          <w:bCs/>
          <w:color w:val="1B4F72"/>
          <w:sz w:val="22"/>
          <w:szCs w:val="22"/>
        </w:rPr>
        <w:t xml:space="preserve">0023  </w:t>
      </w:r>
      <w:r>
        <w:rPr>
          <w:rFonts w:ascii="Arial" w:cs="Arial" w:eastAsia="Arial" w:hAnsi="Arial"/>
          <w:sz w:val="22"/>
          <w:szCs w:val="22"/>
        </w:rPr>
        <w:t xml:space="preserve">MCC shall maintain a public register of SDG contributions by project, enabling buyers to identify projects aligned with their sustainability priorities.</w:t>
      </w:r>
    </w:p>
    <w:p>
      <w:pPr>
        <w:spacing w:after="120"/>
      </w:pPr>
      <w:r>
        <w:rPr>
          <w:rFonts w:ascii="Arial" w:cs="Arial" w:eastAsia="Arial" w:hAnsi="Arial"/>
          <w:b/>
          <w:bCs/>
          <w:color w:val="1B4F72"/>
          <w:sz w:val="22"/>
          <w:szCs w:val="22"/>
        </w:rPr>
        <w:t xml:space="preserve">0024  </w:t>
      </w:r>
      <w:r>
        <w:rPr>
          <w:rFonts w:ascii="Arial" w:cs="Arial" w:eastAsia="Arial" w:hAnsi="Arial"/>
          <w:sz w:val="22"/>
          <w:szCs w:val="22"/>
        </w:rPr>
        <w:t xml:space="preserve">Annual updates to SDG alignment shall be required if project scope, location, or activity design changes significantly.</w:t>
      </w:r>
    </w:p>
    <w:p>
      <w:pPr>
        <w:spacing w:after="120"/>
      </w:pPr>
      <w:r>
        <w:rPr>
          <w:rFonts w:ascii="Arial" w:cs="Arial" w:eastAsia="Arial" w:hAnsi="Arial"/>
          <w:b/>
          <w:bCs/>
          <w:color w:val="1B4F72"/>
          <w:sz w:val="22"/>
          <w:szCs w:val="22"/>
        </w:rPr>
        <w:t xml:space="preserve">0025  </w:t>
      </w:r>
      <w:r>
        <w:rPr>
          <w:rFonts w:ascii="Arial" w:cs="Arial" w:eastAsia="Arial" w:hAnsi="Arial"/>
          <w:sz w:val="22"/>
          <w:szCs w:val="22"/>
        </w:rPr>
        <w:t xml:space="preserve">The methodology expert panel shall review SDG alignment guidance annually to ensure consistency with evolving SDG measurement standards.</w:t>
      </w:r>
    </w:p>
    <w:p>
      <w:pPr>
        <w:spacing w:after="120"/>
      </w:pPr>
      <w:r>
        <w:rPr>
          <w:rFonts w:ascii="Arial" w:cs="Arial" w:eastAsia="Arial" w:hAnsi="Arial"/>
          <w:b/>
          <w:bCs/>
          <w:color w:val="1B4F72"/>
          <w:sz w:val="22"/>
          <w:szCs w:val="22"/>
        </w:rPr>
        <w:t xml:space="preserve">0026  </w:t>
      </w:r>
      <w:r>
        <w:rPr>
          <w:rFonts w:ascii="Arial" w:cs="Arial" w:eastAsia="Arial" w:hAnsi="Arial"/>
          <w:sz w:val="22"/>
          <w:szCs w:val="22"/>
        </w:rPr>
        <w:t xml:space="preserve">Projects may document secondary contributions beyond the minimum three required SDGs, provided these are supported by verifiable indicators and measurement plans.</w:t>
      </w:r>
    </w:p>
    <w:p>
      <w:pPr>
        <w:spacing w:after="120"/>
      </w:pPr>
      <w:r>
        <w:rPr>
          <w:rFonts w:ascii="Arial" w:cs="Arial" w:eastAsia="Arial" w:hAnsi="Arial"/>
          <w:b/>
          <w:bCs/>
          <w:color w:val="1B4F72"/>
          <w:sz w:val="22"/>
          <w:szCs w:val="22"/>
        </w:rPr>
        <w:t xml:space="preserve">0027  </w:t>
      </w:r>
      <w:r>
        <w:rPr>
          <w:rFonts w:ascii="Arial" w:cs="Arial" w:eastAsia="Arial" w:hAnsi="Arial"/>
          <w:sz w:val="22"/>
          <w:szCs w:val="22"/>
        </w:rPr>
        <w:t xml:space="preserve">MCC shall encourage projects to demonstrate intersectional benefits across multiple SDGs rather than siloed single-goal contributions.</w:t>
      </w:r>
    </w:p>
    <w:p>
      <w:pPr>
        <w:spacing w:after="120"/>
      </w:pPr>
      <w:r>
        <w:rPr>
          <w:rFonts w:ascii="Arial" w:cs="Arial" w:eastAsia="Arial" w:hAnsi="Arial"/>
          <w:b/>
          <w:bCs/>
          <w:color w:val="1B4F72"/>
          <w:sz w:val="22"/>
          <w:szCs w:val="22"/>
        </w:rPr>
        <w:t xml:space="preserve">0028  </w:t>
      </w:r>
      <w:r>
        <w:rPr>
          <w:rFonts w:ascii="Arial" w:cs="Arial" w:eastAsia="Arial" w:hAnsi="Arial"/>
          <w:sz w:val="22"/>
          <w:szCs w:val="22"/>
        </w:rPr>
        <w:t xml:space="preserve">The framework shall recognize that climate action (SDG 13) is a foundation for all MCC projects, and additional SDG benefits shall be documented as co-benefits.</w:t>
      </w:r>
    </w:p>
    <w:p>
      <w:pPr>
        <w:spacing w:after="120"/>
      </w:pPr>
      <w:r>
        <w:rPr>
          <w:rFonts w:ascii="Arial" w:cs="Arial" w:eastAsia="Arial" w:hAnsi="Arial"/>
          <w:b/>
          <w:bCs/>
          <w:color w:val="1B4F72"/>
          <w:sz w:val="22"/>
          <w:szCs w:val="22"/>
        </w:rPr>
        <w:t xml:space="preserve">0029  </w:t>
      </w:r>
      <w:r>
        <w:rPr>
          <w:rFonts w:ascii="Arial" w:cs="Arial" w:eastAsia="Arial" w:hAnsi="Arial"/>
          <w:sz w:val="22"/>
          <w:szCs w:val="22"/>
        </w:rPr>
        <w:t xml:space="preserve">Projects shall not claim unrealistic or unsupported SDG contributions to inflate market appeal.</w:t>
      </w:r>
    </w:p>
    <w:p>
      <w:pPr>
        <w:spacing w:after="120"/>
      </w:pPr>
      <w:r>
        <w:rPr>
          <w:rFonts w:ascii="Arial" w:cs="Arial" w:eastAsia="Arial" w:hAnsi="Arial"/>
          <w:b/>
          <w:bCs/>
          <w:color w:val="1B4F72"/>
          <w:sz w:val="22"/>
          <w:szCs w:val="22"/>
        </w:rPr>
        <w:t xml:space="preserve">0030  </w:t>
      </w:r>
      <w:r>
        <w:rPr>
          <w:rFonts w:ascii="Arial" w:cs="Arial" w:eastAsia="Arial" w:hAnsi="Arial"/>
          <w:sz w:val="22"/>
          <w:szCs w:val="22"/>
        </w:rPr>
        <w:t xml:space="preserve">Documentation of SDG alignment shall be made publicly available on the MCC registry for all registered projects.</w:t>
      </w:r>
    </w:p>
    <w:p>
      <w:pPr>
        <w:spacing w:after="120"/>
      </w:pPr>
      <w:r>
        <w:rPr>
          <w:rFonts w:ascii="Arial" w:cs="Arial" w:eastAsia="Arial" w:hAnsi="Arial"/>
          <w:b/>
          <w:bCs/>
          <w:color w:val="1B4F72"/>
          <w:sz w:val="22"/>
          <w:szCs w:val="22"/>
        </w:rPr>
        <w:t xml:space="preserve">0031  </w:t>
      </w:r>
      <w:r>
        <w:rPr>
          <w:rFonts w:ascii="Arial" w:cs="Arial" w:eastAsia="Arial" w:hAnsi="Arial"/>
          <w:sz w:val="22"/>
          <w:szCs w:val="22"/>
        </w:rPr>
        <w:t xml:space="preserve">Projects shall establish baseline data on relevant SDG indicators prior to project commencement to enable ex-ante and ex-post assessment.</w:t>
      </w:r>
    </w:p>
    <w:p>
      <w:pPr>
        <w:spacing w:after="120"/>
      </w:pPr>
      <w:r>
        <w:rPr>
          <w:rFonts w:ascii="Arial" w:cs="Arial" w:eastAsia="Arial" w:hAnsi="Arial"/>
          <w:b/>
          <w:bCs/>
          <w:color w:val="1B4F72"/>
          <w:sz w:val="22"/>
          <w:szCs w:val="22"/>
        </w:rPr>
        <w:t xml:space="preserve">0032  </w:t>
      </w:r>
      <w:r>
        <w:rPr>
          <w:rFonts w:ascii="Arial" w:cs="Arial" w:eastAsia="Arial" w:hAnsi="Arial"/>
          <w:sz w:val="22"/>
          <w:szCs w:val="22"/>
        </w:rPr>
        <w:t xml:space="preserve">Where baseline data is unavailable, projects shall employ accepted proxy indicators or establish baseline through representative sampling methodologies.</w:t>
      </w:r>
    </w:p>
    <w:p>
      <w:pPr>
        <w:spacing w:after="120"/>
      </w:pPr>
      <w:r>
        <w:rPr>
          <w:rFonts w:ascii="Arial" w:cs="Arial" w:eastAsia="Arial" w:hAnsi="Arial"/>
          <w:b/>
          <w:bCs/>
          <w:color w:val="1B4F72"/>
          <w:sz w:val="22"/>
          <w:szCs w:val="22"/>
        </w:rPr>
        <w:t xml:space="preserve">0033  </w:t>
      </w:r>
      <w:r>
        <w:rPr>
          <w:rFonts w:ascii="Arial" w:cs="Arial" w:eastAsia="Arial" w:hAnsi="Arial"/>
          <w:sz w:val="22"/>
          <w:szCs w:val="22"/>
        </w:rPr>
        <w:t xml:space="preserve">MCC shall update the SDG alignment framework every three years in consultation with stakeholders to reflect evolving global development priorities.</w:t>
      </w:r>
    </w:p>
    <w:p>
      <w:pPr>
        <w:spacing w:after="120"/>
      </w:pPr>
      <w:r>
        <w:rPr>
          <w:rFonts w:ascii="Arial" w:cs="Arial" w:eastAsia="Arial" w:hAnsi="Arial"/>
          <w:b/>
          <w:bCs/>
          <w:color w:val="1B4F72"/>
          <w:sz w:val="22"/>
          <w:szCs w:val="22"/>
        </w:rPr>
        <w:t xml:space="preserve">0034  </w:t>
      </w:r>
      <w:r>
        <w:rPr>
          <w:rFonts w:ascii="Arial" w:cs="Arial" w:eastAsia="Arial" w:hAnsi="Arial"/>
          <w:sz w:val="22"/>
          <w:szCs w:val="22"/>
        </w:rPr>
        <w:t xml:space="preserve">Projects demonstrating contributions to four or more SDGs shall receive recognition in MCC marketing materials and registry ranking systems.</w:t>
      </w:r>
    </w:p>
    <w:p>
      <w:pPr>
        <w:spacing w:after="120"/>
      </w:pPr>
      <w:r>
        <w:rPr>
          <w:rFonts w:ascii="Arial" w:cs="Arial" w:eastAsia="Arial" w:hAnsi="Arial"/>
          <w:b/>
          <w:bCs/>
          <w:color w:val="1B4F72"/>
          <w:sz w:val="22"/>
          <w:szCs w:val="22"/>
        </w:rPr>
        <w:t xml:space="preserve">0035  </w:t>
      </w:r>
      <w:r>
        <w:rPr>
          <w:rFonts w:ascii="Arial" w:cs="Arial" w:eastAsia="Arial" w:hAnsi="Arial"/>
          <w:sz w:val="22"/>
          <w:szCs w:val="22"/>
        </w:rPr>
        <w:t xml:space="preserve">The framework shall explicitly exclude claims of SDG contribution unrelated to the geographic area of project implementation or beneficiary populations.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SDG Number</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SDG Title</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MCC Classification</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Primary Project Types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13</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Climate Action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Primary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All MCC methodologies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14</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Life Below Water</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Primary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Marine and coastal methodologies (F01-F04)</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15</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Life on Land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Primary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Terrestrial and coastal ecosystem methodologies (F02-F03)</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 Poverty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Community-based projects with livelihood components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Zero Hunger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Projects in food-insecure regions with agricultural linkages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Gender Equality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All projects with women participation targets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6</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Clean Water and Sanitation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Water quality and watershed protection projects (F04-F05)</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Decent Work and Economic Growth</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Projects creating employment and skills training</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11</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Sustainable Cities and Communities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Secondary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Urban and peri-urban waste prevention projects (F05)</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SD INDICATOR FRAMEWORK</w:t>
      </w:r>
    </w:p>
    <w:p>
      <w:pPr>
        <w:spacing w:after="120"/>
      </w:pPr>
      <w:r>
        <w:rPr>
          <w:rFonts w:ascii="Arial" w:cs="Arial" w:eastAsia="Arial" w:hAnsi="Arial"/>
          <w:b/>
          <w:bCs/>
          <w:color w:val="1B4F72"/>
          <w:sz w:val="22"/>
          <w:szCs w:val="22"/>
        </w:rPr>
        <w:t xml:space="preserve">0036  </w:t>
      </w:r>
      <w:r>
        <w:rPr>
          <w:rFonts w:ascii="Arial" w:cs="Arial" w:eastAsia="Arial" w:hAnsi="Arial"/>
          <w:sz w:val="22"/>
          <w:szCs w:val="22"/>
        </w:rPr>
        <w:t xml:space="preserve">For each identified SDG, projects shall define and measure specific indicators that demonstrate measurable progress toward SDG targets.</w:t>
      </w:r>
    </w:p>
    <w:p>
      <w:pPr>
        <w:spacing w:after="120"/>
      </w:pPr>
      <w:r>
        <w:rPr>
          <w:rFonts w:ascii="Arial" w:cs="Arial" w:eastAsia="Arial" w:hAnsi="Arial"/>
          <w:b/>
          <w:bCs/>
          <w:color w:val="1B4F72"/>
          <w:sz w:val="22"/>
          <w:szCs w:val="22"/>
        </w:rPr>
        <w:t xml:space="preserve">0037  </w:t>
      </w:r>
      <w:r>
        <w:rPr>
          <w:rFonts w:ascii="Arial" w:cs="Arial" w:eastAsia="Arial" w:hAnsi="Arial"/>
          <w:sz w:val="22"/>
          <w:szCs w:val="22"/>
        </w:rPr>
        <w:t xml:space="preserve">MCC shall establish a standardized set of indicators for each primary SDG to ensure consistency across the portfolio.</w:t>
      </w:r>
    </w:p>
    <w:p>
      <w:pPr>
        <w:spacing w:after="120"/>
      </w:pPr>
      <w:r>
        <w:rPr>
          <w:rFonts w:ascii="Arial" w:cs="Arial" w:eastAsia="Arial" w:hAnsi="Arial"/>
          <w:b/>
          <w:bCs/>
          <w:color w:val="1B4F72"/>
          <w:sz w:val="22"/>
          <w:szCs w:val="22"/>
        </w:rPr>
        <w:t xml:space="preserve">0038  </w:t>
      </w:r>
      <w:r>
        <w:rPr>
          <w:rFonts w:ascii="Arial" w:cs="Arial" w:eastAsia="Arial" w:hAnsi="Arial"/>
          <w:sz w:val="22"/>
          <w:szCs w:val="22"/>
        </w:rPr>
        <w:t xml:space="preserve">For SDG 13 (Climate Action), projects shall measure: (a) tonnes of CO2 equivalent sequestered per annum, (b) tonnes of CO2 equivalent emissions avoided per annum, and (c) climate resilience measures implemented.</w:t>
      </w:r>
    </w:p>
    <w:p>
      <w:pPr>
        <w:spacing w:after="120"/>
      </w:pPr>
      <w:r>
        <w:rPr>
          <w:rFonts w:ascii="Arial" w:cs="Arial" w:eastAsia="Arial" w:hAnsi="Arial"/>
          <w:b/>
          <w:bCs/>
          <w:color w:val="1B4F72"/>
          <w:sz w:val="22"/>
          <w:szCs w:val="22"/>
        </w:rPr>
        <w:t xml:space="preserve">0039  </w:t>
      </w:r>
      <w:r>
        <w:rPr>
          <w:rFonts w:ascii="Arial" w:cs="Arial" w:eastAsia="Arial" w:hAnsi="Arial"/>
          <w:sz w:val="22"/>
          <w:szCs w:val="22"/>
        </w:rPr>
        <w:t xml:space="preserve">Climate resilience indicators shall include: adaptive capacity building, early warning systems, climate-informed management practices, and ecosystem stability indices.</w:t>
      </w:r>
    </w:p>
    <w:p>
      <w:pPr>
        <w:spacing w:after="120"/>
      </w:pPr>
      <w:r>
        <w:rPr>
          <w:rFonts w:ascii="Arial" w:cs="Arial" w:eastAsia="Arial" w:hAnsi="Arial"/>
          <w:b/>
          <w:bCs/>
          <w:color w:val="1B4F72"/>
          <w:sz w:val="22"/>
          <w:szCs w:val="22"/>
        </w:rPr>
        <w:t xml:space="preserve">0040  </w:t>
      </w:r>
      <w:r>
        <w:rPr>
          <w:rFonts w:ascii="Arial" w:cs="Arial" w:eastAsia="Arial" w:hAnsi="Arial"/>
          <w:sz w:val="22"/>
          <w:szCs w:val="22"/>
        </w:rPr>
        <w:t xml:space="preserve">For SDG 14 (Life Below Water), projects shall measure: (a) hectares of marine habitat protected or restored, (b) species diversity index measured through appropriate biodiversity assessment methodologies, and (c) water quality improvement metrics including dissolved oxygen, nutrient levels, and contaminant reduction.</w:t>
      </w:r>
    </w:p>
    <w:p>
      <w:pPr>
        <w:spacing w:after="120"/>
      </w:pPr>
      <w:r>
        <w:rPr>
          <w:rFonts w:ascii="Arial" w:cs="Arial" w:eastAsia="Arial" w:hAnsi="Arial"/>
          <w:b/>
          <w:bCs/>
          <w:color w:val="1B4F72"/>
          <w:sz w:val="22"/>
          <w:szCs w:val="22"/>
        </w:rPr>
        <w:t xml:space="preserve">0041  </w:t>
      </w:r>
      <w:r>
        <w:rPr>
          <w:rFonts w:ascii="Arial" w:cs="Arial" w:eastAsia="Arial" w:hAnsi="Arial"/>
          <w:sz w:val="22"/>
          <w:szCs w:val="22"/>
        </w:rPr>
        <w:t xml:space="preserve">Marine biodiversity measurement shall employ standardized assessment protocols including benthic surveys, fish population surveys, or water quality monitoring consistent with regional standards.</w:t>
      </w:r>
    </w:p>
    <w:p>
      <w:pPr>
        <w:spacing w:after="120"/>
      </w:pPr>
      <w:r>
        <w:rPr>
          <w:rFonts w:ascii="Arial" w:cs="Arial" w:eastAsia="Arial" w:hAnsi="Arial"/>
          <w:b/>
          <w:bCs/>
          <w:color w:val="1B4F72"/>
          <w:sz w:val="22"/>
          <w:szCs w:val="22"/>
        </w:rPr>
        <w:t xml:space="preserve">0042  </w:t>
      </w:r>
      <w:r>
        <w:rPr>
          <w:rFonts w:ascii="Arial" w:cs="Arial" w:eastAsia="Arial" w:hAnsi="Arial"/>
          <w:sz w:val="22"/>
          <w:szCs w:val="22"/>
        </w:rPr>
        <w:t xml:space="preserve">For SDG 15 (Life on Land), projects shall measure: (a) hectares of coastal or terrestrial ecosystem restored, (b) biodiversity net gain calculated as percentage change in habitat quality and species richness, and (c) habitat connectivity index demonstrating landscape-level ecosystem function.</w:t>
      </w:r>
    </w:p>
    <w:p>
      <w:pPr>
        <w:spacing w:after="120"/>
      </w:pPr>
      <w:r>
        <w:rPr>
          <w:rFonts w:ascii="Arial" w:cs="Arial" w:eastAsia="Arial" w:hAnsi="Arial"/>
          <w:b/>
          <w:bCs/>
          <w:color w:val="1B4F72"/>
          <w:sz w:val="22"/>
          <w:szCs w:val="22"/>
        </w:rPr>
        <w:t xml:space="preserve">0043  </w:t>
      </w:r>
      <w:r>
        <w:rPr>
          <w:rFonts w:ascii="Arial" w:cs="Arial" w:eastAsia="Arial" w:hAnsi="Arial"/>
          <w:sz w:val="22"/>
          <w:szCs w:val="22"/>
        </w:rPr>
        <w:t xml:space="preserve">For SDG 1 (No Poverty), projects shall measure: (a) number of livelihoods directly supported by project activities, (b) average household income improvement percentage, and (c) number of individuals transitioning above relevant poverty line.</w:t>
      </w:r>
    </w:p>
    <w:p>
      <w:pPr>
        <w:spacing w:after="120"/>
      </w:pPr>
      <w:r>
        <w:rPr>
          <w:rFonts w:ascii="Arial" w:cs="Arial" w:eastAsia="Arial" w:hAnsi="Arial"/>
          <w:b/>
          <w:bCs/>
          <w:color w:val="1B4F72"/>
          <w:sz w:val="22"/>
          <w:szCs w:val="22"/>
        </w:rPr>
        <w:t xml:space="preserve">0044  </w:t>
      </w:r>
      <w:r>
        <w:rPr>
          <w:rFonts w:ascii="Arial" w:cs="Arial" w:eastAsia="Arial" w:hAnsi="Arial"/>
          <w:sz w:val="22"/>
          <w:szCs w:val="22"/>
        </w:rPr>
        <w:t xml:space="preserve">Livelihood support shall be documented through beneficiary registries and annual income surveys conducted by independent enumerators.</w:t>
      </w:r>
    </w:p>
    <w:p>
      <w:pPr>
        <w:spacing w:after="120"/>
      </w:pPr>
      <w:r>
        <w:rPr>
          <w:rFonts w:ascii="Arial" w:cs="Arial" w:eastAsia="Arial" w:hAnsi="Arial"/>
          <w:b/>
          <w:bCs/>
          <w:color w:val="1B4F72"/>
          <w:sz w:val="22"/>
          <w:szCs w:val="22"/>
        </w:rPr>
        <w:t xml:space="preserve">0045  </w:t>
      </w:r>
      <w:r>
        <w:rPr>
          <w:rFonts w:ascii="Arial" w:cs="Arial" w:eastAsia="Arial" w:hAnsi="Arial"/>
          <w:sz w:val="22"/>
          <w:szCs w:val="22"/>
        </w:rPr>
        <w:t xml:space="preserve">For SDG 2 (Zero Hunger), projects shall measure: (a) food security improvement index for beneficiary households, (b) agricultural productivity gains where applicable, and (c) dietary diversity improvements.</w:t>
      </w:r>
    </w:p>
    <w:p>
      <w:pPr>
        <w:spacing w:after="120"/>
      </w:pPr>
      <w:r>
        <w:rPr>
          <w:rFonts w:ascii="Arial" w:cs="Arial" w:eastAsia="Arial" w:hAnsi="Arial"/>
          <w:b/>
          <w:bCs/>
          <w:color w:val="1B4F72"/>
          <w:sz w:val="22"/>
          <w:szCs w:val="22"/>
        </w:rPr>
        <w:t xml:space="preserve">0046  </w:t>
      </w:r>
      <w:r>
        <w:rPr>
          <w:rFonts w:ascii="Arial" w:cs="Arial" w:eastAsia="Arial" w:hAnsi="Arial"/>
          <w:sz w:val="22"/>
          <w:szCs w:val="22"/>
        </w:rPr>
        <w:t xml:space="preserve">For SDG 5 (Gender Equality), projects shall measure: (a) percentage of women among project beneficiaries, (b) percentage of women in project governance or management roles, (c) women's income improvements, and (d) women's access to project benefits quantified through household surveys.</w:t>
      </w:r>
    </w:p>
    <w:p>
      <w:pPr>
        <w:spacing w:after="120"/>
      </w:pPr>
      <w:r>
        <w:rPr>
          <w:rFonts w:ascii="Arial" w:cs="Arial" w:eastAsia="Arial" w:hAnsi="Arial"/>
          <w:b/>
          <w:bCs/>
          <w:color w:val="1B4F72"/>
          <w:sz w:val="22"/>
          <w:szCs w:val="22"/>
        </w:rPr>
        <w:t xml:space="preserve">0047  </w:t>
      </w:r>
      <w:r>
        <w:rPr>
          <w:rFonts w:ascii="Arial" w:cs="Arial" w:eastAsia="Arial" w:hAnsi="Arial"/>
          <w:sz w:val="22"/>
          <w:szCs w:val="22"/>
        </w:rPr>
        <w:t xml:space="preserve">Gender-disaggregated data collection shall be mandatory for all projects claiming SDG 5 contributions.</w:t>
      </w:r>
    </w:p>
    <w:p>
      <w:pPr>
        <w:spacing w:after="120"/>
      </w:pPr>
      <w:r>
        <w:rPr>
          <w:rFonts w:ascii="Arial" w:cs="Arial" w:eastAsia="Arial" w:hAnsi="Arial"/>
          <w:b/>
          <w:bCs/>
          <w:color w:val="1B4F72"/>
          <w:sz w:val="22"/>
          <w:szCs w:val="22"/>
        </w:rPr>
        <w:t xml:space="preserve">0048  </w:t>
      </w:r>
      <w:r>
        <w:rPr>
          <w:rFonts w:ascii="Arial" w:cs="Arial" w:eastAsia="Arial" w:hAnsi="Arial"/>
          <w:sz w:val="22"/>
          <w:szCs w:val="22"/>
        </w:rPr>
        <w:t xml:space="preserve">For SDG 6 (Clean Water and Sanitation), projects shall measure: (a) water quality metrics including fecal coliform, dissolved oxygen, turbidity, and relevant contaminants, (b) watershed area protected or improved, and (c) number of beneficiaries with improved water access.</w:t>
      </w:r>
    </w:p>
    <w:p>
      <w:pPr>
        <w:spacing w:after="120"/>
      </w:pPr>
      <w:r>
        <w:rPr>
          <w:rFonts w:ascii="Arial" w:cs="Arial" w:eastAsia="Arial" w:hAnsi="Arial"/>
          <w:b/>
          <w:bCs/>
          <w:color w:val="1B4F72"/>
          <w:sz w:val="22"/>
          <w:szCs w:val="22"/>
        </w:rPr>
        <w:t xml:space="preserve">0049  </w:t>
      </w:r>
      <w:r>
        <w:rPr>
          <w:rFonts w:ascii="Arial" w:cs="Arial" w:eastAsia="Arial" w:hAnsi="Arial"/>
          <w:sz w:val="22"/>
          <w:szCs w:val="22"/>
        </w:rPr>
        <w:t xml:space="preserve">Water quality monitoring shall employ standardized laboratory or field testing protocols consistent with national or international water quality standards.</w:t>
      </w:r>
    </w:p>
    <w:p>
      <w:pPr>
        <w:spacing w:after="120"/>
      </w:pPr>
      <w:r>
        <w:rPr>
          <w:rFonts w:ascii="Arial" w:cs="Arial" w:eastAsia="Arial" w:hAnsi="Arial"/>
          <w:b/>
          <w:bCs/>
          <w:color w:val="1B4F72"/>
          <w:sz w:val="22"/>
          <w:szCs w:val="22"/>
        </w:rPr>
        <w:t xml:space="preserve">0050  </w:t>
      </w:r>
      <w:r>
        <w:rPr>
          <w:rFonts w:ascii="Arial" w:cs="Arial" w:eastAsia="Arial" w:hAnsi="Arial"/>
          <w:sz w:val="22"/>
          <w:szCs w:val="22"/>
        </w:rPr>
        <w:t xml:space="preserve">For SDG 8 (Decent Work and Economic Growth), projects shall measure: (a) number of full-time equivalent jobs created, (b) number of workers receiving skills training, (c) average wages paid relative to local wage standards, and (d) worker safety and social protection improvements.</w:t>
      </w:r>
    </w:p>
    <w:p>
      <w:pPr>
        <w:spacing w:after="120"/>
      </w:pPr>
      <w:r>
        <w:rPr>
          <w:rFonts w:ascii="Arial" w:cs="Arial" w:eastAsia="Arial" w:hAnsi="Arial"/>
          <w:b/>
          <w:bCs/>
          <w:color w:val="1B4F72"/>
          <w:sz w:val="22"/>
          <w:szCs w:val="22"/>
        </w:rPr>
        <w:t xml:space="preserve">0051  </w:t>
      </w:r>
      <w:r>
        <w:rPr>
          <w:rFonts w:ascii="Arial" w:cs="Arial" w:eastAsia="Arial" w:hAnsi="Arial"/>
          <w:sz w:val="22"/>
          <w:szCs w:val="22"/>
        </w:rPr>
        <w:t xml:space="preserve">Job creation shall be documented through employment contracts, payroll records, and follow-up surveys to verify sustained employment.</w:t>
      </w:r>
    </w:p>
    <w:p>
      <w:pPr>
        <w:spacing w:after="120"/>
      </w:pPr>
      <w:r>
        <w:rPr>
          <w:rFonts w:ascii="Arial" w:cs="Arial" w:eastAsia="Arial" w:hAnsi="Arial"/>
          <w:b/>
          <w:bCs/>
          <w:color w:val="1B4F72"/>
          <w:sz w:val="22"/>
          <w:szCs w:val="22"/>
        </w:rPr>
        <w:t xml:space="preserve">0052  </w:t>
      </w:r>
      <w:r>
        <w:rPr>
          <w:rFonts w:ascii="Arial" w:cs="Arial" w:eastAsia="Arial" w:hAnsi="Arial"/>
          <w:sz w:val="22"/>
          <w:szCs w:val="22"/>
        </w:rPr>
        <w:t xml:space="preserve">For SDG 11 (Sustainable Cities and Communities), projects shall measure: (a) waste diverted from landfills (tonnes per annum), (b) air quality improvements in beneficiary communities, and (c) community resilience indicators.</w:t>
      </w:r>
    </w:p>
    <w:p>
      <w:pPr>
        <w:spacing w:after="120"/>
      </w:pPr>
      <w:r>
        <w:rPr>
          <w:rFonts w:ascii="Arial" w:cs="Arial" w:eastAsia="Arial" w:hAnsi="Arial"/>
          <w:b/>
          <w:bCs/>
          <w:color w:val="1B4F72"/>
          <w:sz w:val="22"/>
          <w:szCs w:val="22"/>
        </w:rPr>
        <w:t xml:space="preserve">0053  </w:t>
      </w:r>
      <w:r>
        <w:rPr>
          <w:rFonts w:ascii="Arial" w:cs="Arial" w:eastAsia="Arial" w:hAnsi="Arial"/>
          <w:sz w:val="22"/>
          <w:szCs w:val="22"/>
        </w:rPr>
        <w:t xml:space="preserve">Projects shall establish baseline values for all selected indicators prior to project commencement, documented in the Project Design Document (PDD) or equivalent registration document.</w:t>
      </w:r>
    </w:p>
    <w:p>
      <w:pPr>
        <w:spacing w:after="120"/>
      </w:pPr>
      <w:r>
        <w:rPr>
          <w:rFonts w:ascii="Arial" w:cs="Arial" w:eastAsia="Arial" w:hAnsi="Arial"/>
          <w:b/>
          <w:bCs/>
          <w:color w:val="1B4F72"/>
          <w:sz w:val="22"/>
          <w:szCs w:val="22"/>
        </w:rPr>
        <w:t xml:space="preserve">0054  </w:t>
      </w:r>
      <w:r>
        <w:rPr>
          <w:rFonts w:ascii="Arial" w:cs="Arial" w:eastAsia="Arial" w:hAnsi="Arial"/>
          <w:sz w:val="22"/>
          <w:szCs w:val="22"/>
        </w:rPr>
        <w:t xml:space="preserve">Baseline assessment shall employ recognized data collection methodologies appropriate to the indicator type: direct measurement, surveys, sampling, or proxy indicators.</w:t>
      </w:r>
    </w:p>
    <w:p>
      <w:pPr>
        <w:spacing w:after="120"/>
      </w:pPr>
      <w:r>
        <w:rPr>
          <w:rFonts w:ascii="Arial" w:cs="Arial" w:eastAsia="Arial" w:hAnsi="Arial"/>
          <w:b/>
          <w:bCs/>
          <w:color w:val="1B4F72"/>
          <w:sz w:val="22"/>
          <w:szCs w:val="22"/>
        </w:rPr>
        <w:t xml:space="preserve">0055  </w:t>
      </w:r>
      <w:r>
        <w:rPr>
          <w:rFonts w:ascii="Arial" w:cs="Arial" w:eastAsia="Arial" w:hAnsi="Arial"/>
          <w:sz w:val="22"/>
          <w:szCs w:val="22"/>
        </w:rPr>
        <w:t xml:space="preserve">Projects shall define target values for each indicator at project completion, representing realistic but ambitious outcomes based on activity design.</w:t>
      </w:r>
    </w:p>
    <w:p>
      <w:pPr>
        <w:spacing w:after="120"/>
      </w:pPr>
      <w:r>
        <w:rPr>
          <w:rFonts w:ascii="Arial" w:cs="Arial" w:eastAsia="Arial" w:hAnsi="Arial"/>
          <w:b/>
          <w:bCs/>
          <w:color w:val="1B4F72"/>
          <w:sz w:val="22"/>
          <w:szCs w:val="22"/>
        </w:rPr>
        <w:t xml:space="preserve">0056  </w:t>
      </w:r>
      <w:r>
        <w:rPr>
          <w:rFonts w:ascii="Arial" w:cs="Arial" w:eastAsia="Arial" w:hAnsi="Arial"/>
          <w:sz w:val="22"/>
          <w:szCs w:val="22"/>
        </w:rPr>
        <w:t xml:space="preserve">Measurement methodology for each indicator shall be documented in detail, including frequency of measurement, responsible party, quality assurance procedures, and data management protocols.</w:t>
      </w:r>
    </w:p>
    <w:p>
      <w:pPr>
        <w:spacing w:after="120"/>
      </w:pPr>
      <w:r>
        <w:rPr>
          <w:rFonts w:ascii="Arial" w:cs="Arial" w:eastAsia="Arial" w:hAnsi="Arial"/>
          <w:b/>
          <w:bCs/>
          <w:color w:val="1B4F72"/>
          <w:sz w:val="22"/>
          <w:szCs w:val="22"/>
        </w:rPr>
        <w:t xml:space="preserve">0057  </w:t>
      </w:r>
      <w:r>
        <w:rPr>
          <w:rFonts w:ascii="Arial" w:cs="Arial" w:eastAsia="Arial" w:hAnsi="Arial"/>
          <w:sz w:val="22"/>
          <w:szCs w:val="22"/>
        </w:rPr>
        <w:t xml:space="preserve">All indicators shall be measured using standardized units enabling aggregation across projects for portfolio-level impact reporting.</w:t>
      </w:r>
    </w:p>
    <w:p>
      <w:pPr>
        <w:spacing w:after="120"/>
      </w:pPr>
      <w:r>
        <w:rPr>
          <w:rFonts w:ascii="Arial" w:cs="Arial" w:eastAsia="Arial" w:hAnsi="Arial"/>
          <w:b/>
          <w:bCs/>
          <w:color w:val="1B4F72"/>
          <w:sz w:val="22"/>
          <w:szCs w:val="22"/>
        </w:rPr>
        <w:t xml:space="preserve">0058  </w:t>
      </w:r>
      <w:r>
        <w:rPr>
          <w:rFonts w:ascii="Arial" w:cs="Arial" w:eastAsia="Arial" w:hAnsi="Arial"/>
          <w:sz w:val="22"/>
          <w:szCs w:val="22"/>
        </w:rPr>
        <w:t xml:space="preserve">Projects may employ supplementary project-specific indicators beyond the standard set provided these are documented in project design documents and subject to verification.</w:t>
      </w:r>
    </w:p>
    <w:p>
      <w:pPr>
        <w:spacing w:after="120"/>
      </w:pPr>
      <w:r>
        <w:rPr>
          <w:rFonts w:ascii="Arial" w:cs="Arial" w:eastAsia="Arial" w:hAnsi="Arial"/>
          <w:b/>
          <w:bCs/>
          <w:color w:val="1B4F72"/>
          <w:sz w:val="22"/>
          <w:szCs w:val="22"/>
        </w:rPr>
        <w:t xml:space="preserve">0059  </w:t>
      </w:r>
      <w:r>
        <w:rPr>
          <w:rFonts w:ascii="Arial" w:cs="Arial" w:eastAsia="Arial" w:hAnsi="Arial"/>
          <w:sz w:val="22"/>
          <w:szCs w:val="22"/>
        </w:rPr>
        <w:t xml:space="preserve">Indicator measurement frequency shall be established at project design stage, with minimum annual monitoring for all indicators during the crediting period.</w:t>
      </w:r>
    </w:p>
    <w:p>
      <w:pPr>
        <w:spacing w:after="120"/>
      </w:pPr>
      <w:r>
        <w:rPr>
          <w:rFonts w:ascii="Arial" w:cs="Arial" w:eastAsia="Arial" w:hAnsi="Arial"/>
          <w:b/>
          <w:bCs/>
          <w:color w:val="1B4F72"/>
          <w:sz w:val="22"/>
          <w:szCs w:val="22"/>
        </w:rPr>
        <w:t xml:space="preserve">0060  </w:t>
      </w:r>
      <w:r>
        <w:rPr>
          <w:rFonts w:ascii="Arial" w:cs="Arial" w:eastAsia="Arial" w:hAnsi="Arial"/>
          <w:sz w:val="22"/>
          <w:szCs w:val="22"/>
        </w:rPr>
        <w:t xml:space="preserve">Data quality assurance shall include: calibration of measurement equipment, competency verification of data collectors, data validation procedures, and documentation of quality control measures.</w:t>
      </w:r>
    </w:p>
    <w:p>
      <w:pPr>
        <w:spacing w:after="120"/>
      </w:pPr>
      <w:r>
        <w:rPr>
          <w:rFonts w:ascii="Arial" w:cs="Arial" w:eastAsia="Arial" w:hAnsi="Arial"/>
          <w:b/>
          <w:bCs/>
          <w:color w:val="1B4F72"/>
          <w:sz w:val="22"/>
          <w:szCs w:val="22"/>
        </w:rPr>
        <w:t xml:space="preserve">0061  </w:t>
      </w:r>
      <w:r>
        <w:rPr>
          <w:rFonts w:ascii="Arial" w:cs="Arial" w:eastAsia="Arial" w:hAnsi="Arial"/>
          <w:sz w:val="22"/>
          <w:szCs w:val="22"/>
        </w:rPr>
        <w:t xml:space="preserve">Projects shall employ independent data collectors or enumerators where feasible to ensure objectivity of baseline and monitoring data.</w:t>
      </w:r>
    </w:p>
    <w:p>
      <w:pPr>
        <w:spacing w:after="120"/>
      </w:pPr>
      <w:r>
        <w:rPr>
          <w:rFonts w:ascii="Arial" w:cs="Arial" w:eastAsia="Arial" w:hAnsi="Arial"/>
          <w:b/>
          <w:bCs/>
          <w:color w:val="1B4F72"/>
          <w:sz w:val="22"/>
          <w:szCs w:val="22"/>
        </w:rPr>
        <w:t xml:space="preserve">0062  </w:t>
      </w:r>
      <w:r>
        <w:rPr>
          <w:rFonts w:ascii="Arial" w:cs="Arial" w:eastAsia="Arial" w:hAnsi="Arial"/>
          <w:sz w:val="22"/>
          <w:szCs w:val="22"/>
        </w:rPr>
        <w:t xml:space="preserve">For community-based indicators (livelihoods, gender, employment), sampling methodologies shall be statistically sound with documented sampling frame, sample size calculations, and confidence levels.</w:t>
      </w:r>
    </w:p>
    <w:p>
      <w:pPr>
        <w:spacing w:after="120"/>
      </w:pPr>
      <w:r>
        <w:rPr>
          <w:rFonts w:ascii="Arial" w:cs="Arial" w:eastAsia="Arial" w:hAnsi="Arial"/>
          <w:b/>
          <w:bCs/>
          <w:color w:val="1B4F72"/>
          <w:sz w:val="22"/>
          <w:szCs w:val="22"/>
        </w:rPr>
        <w:t xml:space="preserve">0063  </w:t>
      </w:r>
      <w:r>
        <w:rPr>
          <w:rFonts w:ascii="Arial" w:cs="Arial" w:eastAsia="Arial" w:hAnsi="Arial"/>
          <w:sz w:val="22"/>
          <w:szCs w:val="22"/>
        </w:rPr>
        <w:t xml:space="preserve">Data management systems shall ensure secure storage, version control, and traceability of all SD indicator data from collection through final reporting.</w:t>
      </w:r>
    </w:p>
    <w:p>
      <w:pPr>
        <w:spacing w:after="120"/>
      </w:pPr>
      <w:r>
        <w:rPr>
          <w:rFonts w:ascii="Arial" w:cs="Arial" w:eastAsia="Arial" w:hAnsi="Arial"/>
          <w:b/>
          <w:bCs/>
          <w:color w:val="1B4F72"/>
          <w:sz w:val="22"/>
          <w:szCs w:val="22"/>
        </w:rPr>
        <w:t xml:space="preserve">0064  </w:t>
      </w:r>
      <w:r>
        <w:rPr>
          <w:rFonts w:ascii="Arial" w:cs="Arial" w:eastAsia="Arial" w:hAnsi="Arial"/>
          <w:sz w:val="22"/>
          <w:szCs w:val="22"/>
        </w:rPr>
        <w:t xml:space="preserve">Sensitive data (beneficiary identities, income levels, household information) shall be collected and maintained in accordance with data protection regulations and ethical research standards.</w:t>
      </w:r>
    </w:p>
    <w:p>
      <w:pPr>
        <w:spacing w:after="120"/>
      </w:pPr>
      <w:r>
        <w:rPr>
          <w:rFonts w:ascii="Arial" w:cs="Arial" w:eastAsia="Arial" w:hAnsi="Arial"/>
          <w:b/>
          <w:bCs/>
          <w:color w:val="1B4F72"/>
          <w:sz w:val="22"/>
          <w:szCs w:val="22"/>
        </w:rPr>
        <w:t xml:space="preserve">0065  </w:t>
      </w:r>
      <w:r>
        <w:rPr>
          <w:rFonts w:ascii="Arial" w:cs="Arial" w:eastAsia="Arial" w:hAnsi="Arial"/>
          <w:sz w:val="22"/>
          <w:szCs w:val="22"/>
        </w:rPr>
        <w:t xml:space="preserve">MCC shall publish guidance documents for each indicator defining acceptable measurement methodologies, data quality standards, and common pitfalls.</w:t>
      </w:r>
    </w:p>
    <w:p>
      <w:pPr>
        <w:spacing w:after="120"/>
      </w:pPr>
      <w:r>
        <w:rPr>
          <w:rFonts w:ascii="Arial" w:cs="Arial" w:eastAsia="Arial" w:hAnsi="Arial"/>
          <w:b/>
          <w:bCs/>
          <w:color w:val="1B4F72"/>
          <w:sz w:val="22"/>
          <w:szCs w:val="22"/>
        </w:rPr>
        <w:t xml:space="preserve">0066  </w:t>
      </w:r>
      <w:r>
        <w:rPr>
          <w:rFonts w:ascii="Arial" w:cs="Arial" w:eastAsia="Arial" w:hAnsi="Arial"/>
          <w:sz w:val="22"/>
          <w:szCs w:val="22"/>
        </w:rPr>
        <w:t xml:space="preserve">The SD indicator framework shall be reviewed and updated annually by the methodology expert panel to reflect scientific advances and stakeholder feedback.</w:t>
      </w:r>
    </w:p>
    <w:p>
      <w:pPr>
        <w:spacing w:after="120"/>
      </w:pPr>
      <w:r>
        <w:rPr>
          <w:rFonts w:ascii="Arial" w:cs="Arial" w:eastAsia="Arial" w:hAnsi="Arial"/>
          <w:b/>
          <w:bCs/>
          <w:color w:val="1B4F72"/>
          <w:sz w:val="22"/>
          <w:szCs w:val="22"/>
        </w:rPr>
        <w:t xml:space="preserve">0067  </w:t>
      </w:r>
      <w:r>
        <w:rPr>
          <w:rFonts w:ascii="Arial" w:cs="Arial" w:eastAsia="Arial" w:hAnsi="Arial"/>
          <w:sz w:val="22"/>
          <w:szCs w:val="22"/>
        </w:rPr>
        <w:t xml:space="preserve">New indicators shall not be added to the mandatory framework without prior stakeholder consultation and six months' notice to allow project developers to incorporate new requirements.</w:t>
      </w:r>
    </w:p>
    <w:p>
      <w:pPr>
        <w:spacing w:after="120"/>
      </w:pPr>
      <w:r>
        <w:rPr>
          <w:rFonts w:ascii="Arial" w:cs="Arial" w:eastAsia="Arial" w:hAnsi="Arial"/>
          <w:b/>
          <w:bCs/>
          <w:color w:val="1B4F72"/>
          <w:sz w:val="22"/>
          <w:szCs w:val="22"/>
        </w:rPr>
        <w:t xml:space="preserve">0068  </w:t>
      </w:r>
      <w:r>
        <w:rPr>
          <w:rFonts w:ascii="Arial" w:cs="Arial" w:eastAsia="Arial" w:hAnsi="Arial"/>
          <w:sz w:val="22"/>
          <w:szCs w:val="22"/>
        </w:rPr>
        <w:t xml:space="preserve">Indicators shall be selected to ensure: (a) causal link to project activities, (b) measurability with available resources, (c) relevance to beneficiary populations, and (d) alignment with international SD measurement standards.</w:t>
      </w:r>
    </w:p>
    <w:p>
      <w:pPr>
        <w:spacing w:after="120"/>
      </w:pPr>
      <w:r>
        <w:rPr>
          <w:rFonts w:ascii="Arial" w:cs="Arial" w:eastAsia="Arial" w:hAnsi="Arial"/>
          <w:b/>
          <w:bCs/>
          <w:color w:val="1B4F72"/>
          <w:sz w:val="22"/>
          <w:szCs w:val="22"/>
        </w:rPr>
        <w:t xml:space="preserve">0069  </w:t>
      </w:r>
      <w:r>
        <w:rPr>
          <w:rFonts w:ascii="Arial" w:cs="Arial" w:eastAsia="Arial" w:hAnsi="Arial"/>
          <w:sz w:val="22"/>
          <w:szCs w:val="22"/>
        </w:rPr>
        <w:t xml:space="preserve">Projects with incomplete or non-credible indicator data shall not receive SD labels or verification until data quality is demonstrated.</w:t>
      </w:r>
    </w:p>
    <w:p>
      <w:pPr>
        <w:spacing w:after="120"/>
      </w:pPr>
      <w:r>
        <w:rPr>
          <w:rFonts w:ascii="Arial" w:cs="Arial" w:eastAsia="Arial" w:hAnsi="Arial"/>
          <w:b/>
          <w:bCs/>
          <w:color w:val="1B4F72"/>
          <w:sz w:val="22"/>
          <w:szCs w:val="22"/>
        </w:rPr>
        <w:t xml:space="preserve">0070  </w:t>
      </w:r>
      <w:r>
        <w:rPr>
          <w:rFonts w:ascii="Arial" w:cs="Arial" w:eastAsia="Arial" w:hAnsi="Arial"/>
          <w:sz w:val="22"/>
          <w:szCs w:val="22"/>
        </w:rPr>
        <w:t xml:space="preserve">MCC shall establish quality assurance audits of 10% of registered projects annually to verify accuracy of self-reported SD indicator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SDG</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Indicator</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Unit</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Measurement Method</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Frequency</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13</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tCO2e sequestered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tonnes CO2e/year</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Carbon accounting methodology (MCC methodology-specific)</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13</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tCO2e avoided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tonnes CO2e/year</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Baseline scenario emissions vs. project scenario</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13</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Climate resilience measures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number of measures implemented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 activity documentation and beneficiary surveys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14</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Marine habitat protected/restored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hectares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Satellite imagery, GPS surveys, ecological mapping</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Bi-annual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14</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Species diversity index</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index score (0-1)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Benthic surveys, fish surveys, standardized biodiversity assessment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14</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Water quality improvement</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mg/L, units per indicator</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Laboratory or field testing (dissolved oxygen, nutrients, contaminants)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Monthly to quarterly</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Coastal/terrestrial ecosystem restored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hectares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Satellite imagery, GPS surveys, restoration activity records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Bi-annual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15</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Biodiversity net gain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percentage change in habitat quality</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Ecological surveys before/after, species richness assessment</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Bi-annual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Habitat connectivity index</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connectivity score (0-1)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Landscape analysis, expert assessment, connectivity modeling</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Bi-annual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Livelihoods supported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number of individuals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Beneficiary registry, household surveys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Income improvement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percentage change in household income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Household income surveys with control group comparison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Food security index</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index score (0-1)</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Household dietary diversity surveys, food security surveys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Women participation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percentage of women beneficiaries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Gender-disaggregated beneficiary registry</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Women in leadership</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percentage in governance/management roles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Organizational records, stakeholder interviews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Women income improvement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percentage change in women's income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Gender-disaggregated household income surveys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Water quality metrics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mg/L, CFU/100mL, or other relevant units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Laboratory testing, field testing, standardized protocols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Quarterly</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6</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Watershed protection area</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hectares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Land management records, remote sensing, administrative records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Jobs created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full-time equivalent (FTE)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Employment contracts, payroll records, follow-up surveys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8</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Skills training provided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person-hours or number of workers trained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Training records, completion certificates, competency assessments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11</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Waste diverted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tonnes per year</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Waste collection records, disposal facility records, mass balance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Annual</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SD ASSESSMENT METHODOLOGY</w:t>
      </w:r>
    </w:p>
    <w:p>
      <w:pPr>
        <w:spacing w:after="120"/>
      </w:pPr>
      <w:r>
        <w:rPr>
          <w:rFonts w:ascii="Arial" w:cs="Arial" w:eastAsia="Arial" w:hAnsi="Arial"/>
          <w:b/>
          <w:bCs/>
          <w:color w:val="1B4F72"/>
          <w:sz w:val="22"/>
          <w:szCs w:val="22"/>
        </w:rPr>
        <w:t xml:space="preserve">0071  </w:t>
      </w:r>
      <w:r>
        <w:rPr>
          <w:rFonts w:ascii="Arial" w:cs="Arial" w:eastAsia="Arial" w:hAnsi="Arial"/>
          <w:sz w:val="22"/>
          <w:szCs w:val="22"/>
        </w:rPr>
        <w:t xml:space="preserve">All MCC projects shall undergo a structured SD assessment process comprising baseline assessment, ex-ante estimation, monitoring, reporting, verification, and scoring.</w:t>
      </w:r>
    </w:p>
    <w:p>
      <w:pPr>
        <w:spacing w:after="120"/>
      </w:pPr>
      <w:r>
        <w:rPr>
          <w:rFonts w:ascii="Arial" w:cs="Arial" w:eastAsia="Arial" w:hAnsi="Arial"/>
          <w:b/>
          <w:bCs/>
          <w:color w:val="1B4F72"/>
          <w:sz w:val="22"/>
          <w:szCs w:val="22"/>
        </w:rPr>
        <w:t xml:space="preserve">0072  </w:t>
      </w:r>
      <w:r>
        <w:rPr>
          <w:rFonts w:ascii="Arial" w:cs="Arial" w:eastAsia="Arial" w:hAnsi="Arial"/>
          <w:sz w:val="22"/>
          <w:szCs w:val="22"/>
        </w:rPr>
        <w:t xml:space="preserve">The assessment methodology shall be transparent, reproducible, and applicable across diverse project types and geographic contexts.</w:t>
      </w:r>
    </w:p>
    <w:p>
      <w:pPr>
        <w:pStyle w:val="Heading2"/>
        <w:spacing w:before="240" w:after="160"/>
      </w:pPr>
      <w:r>
        <w:rPr>
          <w:rFonts w:ascii="Arial" w:cs="Arial" w:eastAsia="Arial" w:hAnsi="Arial"/>
          <w:b/>
          <w:bCs/>
          <w:color w:val="2E86C1"/>
          <w:sz w:val="28"/>
          <w:szCs w:val="28"/>
        </w:rPr>
        <w:t xml:space="preserve">Baseline Assessment</w:t>
      </w:r>
    </w:p>
    <w:p>
      <w:pPr>
        <w:spacing w:after="120"/>
      </w:pPr>
      <w:r>
        <w:rPr>
          <w:rFonts w:ascii="Arial" w:cs="Arial" w:eastAsia="Arial" w:hAnsi="Arial"/>
          <w:b/>
          <w:bCs/>
          <w:color w:val="1B4F72"/>
          <w:sz w:val="22"/>
          <w:szCs w:val="22"/>
        </w:rPr>
        <w:t xml:space="preserve">0073  </w:t>
      </w:r>
      <w:r>
        <w:rPr>
          <w:rFonts w:ascii="Arial" w:cs="Arial" w:eastAsia="Arial" w:hAnsi="Arial"/>
          <w:sz w:val="22"/>
          <w:szCs w:val="22"/>
        </w:rPr>
        <w:t xml:space="preserve">Prior to project commencement, projects shall establish baseline values for all selected SD indicators.</w:t>
      </w:r>
    </w:p>
    <w:p>
      <w:pPr>
        <w:spacing w:after="120"/>
      </w:pPr>
      <w:r>
        <w:rPr>
          <w:rFonts w:ascii="Arial" w:cs="Arial" w:eastAsia="Arial" w:hAnsi="Arial"/>
          <w:b/>
          <w:bCs/>
          <w:color w:val="1B4F72"/>
          <w:sz w:val="22"/>
          <w:szCs w:val="22"/>
        </w:rPr>
        <w:t xml:space="preserve">0074  </w:t>
      </w:r>
      <w:r>
        <w:rPr>
          <w:rFonts w:ascii="Arial" w:cs="Arial" w:eastAsia="Arial" w:hAnsi="Arial"/>
          <w:sz w:val="22"/>
          <w:szCs w:val="22"/>
        </w:rPr>
        <w:t xml:space="preserve">Baseline assessment shall document pre-project conditions enabling comparison with ex-ante estimates and ex-post monitoring results.</w:t>
      </w:r>
    </w:p>
    <w:p>
      <w:pPr>
        <w:spacing w:after="120"/>
      </w:pPr>
      <w:r>
        <w:rPr>
          <w:rFonts w:ascii="Arial" w:cs="Arial" w:eastAsia="Arial" w:hAnsi="Arial"/>
          <w:b/>
          <w:bCs/>
          <w:color w:val="1B4F72"/>
          <w:sz w:val="22"/>
          <w:szCs w:val="22"/>
        </w:rPr>
        <w:t xml:space="preserve">0075  </w:t>
      </w:r>
      <w:r>
        <w:rPr>
          <w:rFonts w:ascii="Arial" w:cs="Arial" w:eastAsia="Arial" w:hAnsi="Arial"/>
          <w:sz w:val="22"/>
          <w:szCs w:val="22"/>
        </w:rPr>
        <w:t xml:space="preserve">Baseline data collection shall employ the measurement methodologies defined for each indicator, ensuring consistency with future monitoring activities.</w:t>
      </w:r>
    </w:p>
    <w:p>
      <w:pPr>
        <w:spacing w:after="120"/>
      </w:pPr>
      <w:r>
        <w:rPr>
          <w:rFonts w:ascii="Arial" w:cs="Arial" w:eastAsia="Arial" w:hAnsi="Arial"/>
          <w:b/>
          <w:bCs/>
          <w:color w:val="1B4F72"/>
          <w:sz w:val="22"/>
          <w:szCs w:val="22"/>
        </w:rPr>
        <w:t xml:space="preserve">0076  </w:t>
      </w:r>
      <w:r>
        <w:rPr>
          <w:rFonts w:ascii="Arial" w:cs="Arial" w:eastAsia="Arial" w:hAnsi="Arial"/>
          <w:sz w:val="22"/>
          <w:szCs w:val="22"/>
        </w:rPr>
        <w:t xml:space="preserve">For new projects in areas without existing data, baseline assessment shall be conducted within 12 months prior to project commencement.</w:t>
      </w:r>
    </w:p>
    <w:p>
      <w:pPr>
        <w:spacing w:after="120"/>
      </w:pPr>
      <w:r>
        <w:rPr>
          <w:rFonts w:ascii="Arial" w:cs="Arial" w:eastAsia="Arial" w:hAnsi="Arial"/>
          <w:b/>
          <w:bCs/>
          <w:color w:val="1B4F72"/>
          <w:sz w:val="22"/>
          <w:szCs w:val="22"/>
        </w:rPr>
        <w:t xml:space="preserve">0077  </w:t>
      </w:r>
      <w:r>
        <w:rPr>
          <w:rFonts w:ascii="Arial" w:cs="Arial" w:eastAsia="Arial" w:hAnsi="Arial"/>
          <w:sz w:val="22"/>
          <w:szCs w:val="22"/>
        </w:rPr>
        <w:t xml:space="preserve">Baseline documentation shall be included in the Project Design Document or registration document and made available to VVBs during validation.</w:t>
      </w:r>
    </w:p>
    <w:p>
      <w:pPr>
        <w:spacing w:after="120"/>
      </w:pPr>
      <w:r>
        <w:rPr>
          <w:rFonts w:ascii="Arial" w:cs="Arial" w:eastAsia="Arial" w:hAnsi="Arial"/>
          <w:b/>
          <w:bCs/>
          <w:color w:val="1B4F72"/>
          <w:sz w:val="22"/>
          <w:szCs w:val="22"/>
        </w:rPr>
        <w:t xml:space="preserve">0078  </w:t>
      </w:r>
      <w:r>
        <w:rPr>
          <w:rFonts w:ascii="Arial" w:cs="Arial" w:eastAsia="Arial" w:hAnsi="Arial"/>
          <w:sz w:val="22"/>
          <w:szCs w:val="22"/>
        </w:rPr>
        <w:t xml:space="preserve">Community consultation shall be conducted during baseline assessment to ensure selected indicators reflect local priorities and are culturally appropriate.</w:t>
      </w:r>
    </w:p>
    <w:p>
      <w:pPr>
        <w:spacing w:after="120"/>
      </w:pPr>
      <w:r>
        <w:rPr>
          <w:rFonts w:ascii="Arial" w:cs="Arial" w:eastAsia="Arial" w:hAnsi="Arial"/>
          <w:b/>
          <w:bCs/>
          <w:color w:val="1B4F72"/>
          <w:sz w:val="22"/>
          <w:szCs w:val="22"/>
        </w:rPr>
        <w:t xml:space="preserve">0079  </w:t>
      </w:r>
      <w:r>
        <w:rPr>
          <w:rFonts w:ascii="Arial" w:cs="Arial" w:eastAsia="Arial" w:hAnsi="Arial"/>
          <w:sz w:val="22"/>
          <w:szCs w:val="22"/>
        </w:rPr>
        <w:t xml:space="preserve">Baseline reports shall document: (a) data collection methodology and quality assurance procedures, (b) data sources, (c) limitations and confidence levels, (d) names and qualifications of data collectors, and (e) geographic and temporal scope of baseline data.</w:t>
      </w:r>
    </w:p>
    <w:p>
      <w:pPr>
        <w:pStyle w:val="Heading2"/>
        <w:spacing w:before="240" w:after="160"/>
      </w:pPr>
      <w:r>
        <w:rPr>
          <w:rFonts w:ascii="Arial" w:cs="Arial" w:eastAsia="Arial" w:hAnsi="Arial"/>
          <w:b/>
          <w:bCs/>
          <w:color w:val="2E86C1"/>
          <w:sz w:val="28"/>
          <w:szCs w:val="28"/>
        </w:rPr>
        <w:t xml:space="preserve">Ex-Ante Estimation</w:t>
      </w:r>
    </w:p>
    <w:p>
      <w:pPr>
        <w:spacing w:after="120"/>
      </w:pPr>
      <w:r>
        <w:rPr>
          <w:rFonts w:ascii="Arial" w:cs="Arial" w:eastAsia="Arial" w:hAnsi="Arial"/>
          <w:b/>
          <w:bCs/>
          <w:color w:val="1B4F72"/>
          <w:sz w:val="22"/>
          <w:szCs w:val="22"/>
        </w:rPr>
        <w:t xml:space="preserve">0080  </w:t>
      </w:r>
      <w:r>
        <w:rPr>
          <w:rFonts w:ascii="Arial" w:cs="Arial" w:eastAsia="Arial" w:hAnsi="Arial"/>
          <w:sz w:val="22"/>
          <w:szCs w:val="22"/>
        </w:rPr>
        <w:t xml:space="preserve">Project design documents shall include ex-ante estimates of expected SD contributions for all identified SDG indicators.</w:t>
      </w:r>
    </w:p>
    <w:p>
      <w:pPr>
        <w:spacing w:after="120"/>
      </w:pPr>
      <w:r>
        <w:rPr>
          <w:rFonts w:ascii="Arial" w:cs="Arial" w:eastAsia="Arial" w:hAnsi="Arial"/>
          <w:b/>
          <w:bCs/>
          <w:color w:val="1B4F72"/>
          <w:sz w:val="22"/>
          <w:szCs w:val="22"/>
        </w:rPr>
        <w:t xml:space="preserve">0081  </w:t>
      </w:r>
      <w:r>
        <w:rPr>
          <w:rFonts w:ascii="Arial" w:cs="Arial" w:eastAsia="Arial" w:hAnsi="Arial"/>
          <w:sz w:val="22"/>
          <w:szCs w:val="22"/>
        </w:rPr>
        <w:t xml:space="preserve">Ex-ante estimates shall be based on: (a) project activity design and implementation timeline, (b) credible reference data from comparable projects or scientific literature, (c) beneficiary population analysis, and (d) context-specific assumptions.</w:t>
      </w:r>
    </w:p>
    <w:p>
      <w:pPr>
        <w:spacing w:after="120"/>
      </w:pPr>
      <w:r>
        <w:rPr>
          <w:rFonts w:ascii="Arial" w:cs="Arial" w:eastAsia="Arial" w:hAnsi="Arial"/>
          <w:b/>
          <w:bCs/>
          <w:color w:val="1B4F72"/>
          <w:sz w:val="22"/>
          <w:szCs w:val="22"/>
        </w:rPr>
        <w:t xml:space="preserve">0082  </w:t>
      </w:r>
      <w:r>
        <w:rPr>
          <w:rFonts w:ascii="Arial" w:cs="Arial" w:eastAsia="Arial" w:hAnsi="Arial"/>
          <w:sz w:val="22"/>
          <w:szCs w:val="22"/>
        </w:rPr>
        <w:t xml:space="preserve">Ex-ante estimation shall employ conservative assumptions to avoid overestimating SD benefits.</w:t>
      </w:r>
    </w:p>
    <w:p>
      <w:pPr>
        <w:spacing w:after="120"/>
      </w:pPr>
      <w:r>
        <w:rPr>
          <w:rFonts w:ascii="Arial" w:cs="Arial" w:eastAsia="Arial" w:hAnsi="Arial"/>
          <w:b/>
          <w:bCs/>
          <w:color w:val="1B4F72"/>
          <w:sz w:val="22"/>
          <w:szCs w:val="22"/>
        </w:rPr>
        <w:t xml:space="preserve">0083  </w:t>
      </w:r>
      <w:r>
        <w:rPr>
          <w:rFonts w:ascii="Arial" w:cs="Arial" w:eastAsia="Arial" w:hAnsi="Arial"/>
          <w:sz w:val="22"/>
          <w:szCs w:val="22"/>
        </w:rPr>
        <w:t xml:space="preserve">Projects shall document the basis for all ex-ante assumptions, including data sources, expert judgment, and sensitivity analyses.</w:t>
      </w:r>
    </w:p>
    <w:p>
      <w:pPr>
        <w:spacing w:after="120"/>
      </w:pPr>
      <w:r>
        <w:rPr>
          <w:rFonts w:ascii="Arial" w:cs="Arial" w:eastAsia="Arial" w:hAnsi="Arial"/>
          <w:b/>
          <w:bCs/>
          <w:color w:val="1B4F72"/>
          <w:sz w:val="22"/>
          <w:szCs w:val="22"/>
        </w:rPr>
        <w:t xml:space="preserve">0084  </w:t>
      </w:r>
      <w:r>
        <w:rPr>
          <w:rFonts w:ascii="Arial" w:cs="Arial" w:eastAsia="Arial" w:hAnsi="Arial"/>
          <w:sz w:val="22"/>
          <w:szCs w:val="22"/>
        </w:rPr>
        <w:t xml:space="preserve">Ex-ante estimates shall be differentiated from aspirational or hypothetical benefits, with clear documentation of confidence levels and uncertainty ranges.</w:t>
      </w:r>
    </w:p>
    <w:p>
      <w:pPr>
        <w:spacing w:after="120"/>
      </w:pPr>
      <w:r>
        <w:rPr>
          <w:rFonts w:ascii="Arial" w:cs="Arial" w:eastAsia="Arial" w:hAnsi="Arial"/>
          <w:b/>
          <w:bCs/>
          <w:color w:val="1B4F72"/>
          <w:sz w:val="22"/>
          <w:szCs w:val="22"/>
        </w:rPr>
        <w:t xml:space="preserve">0085  </w:t>
      </w:r>
      <w:r>
        <w:rPr>
          <w:rFonts w:ascii="Arial" w:cs="Arial" w:eastAsia="Arial" w:hAnsi="Arial"/>
          <w:sz w:val="22"/>
          <w:szCs w:val="22"/>
        </w:rPr>
        <w:t xml:space="preserve">Projects shall establish interim milestones for SD achievement enabling progressive realization of benefits throughout the crediting period.</w:t>
      </w:r>
    </w:p>
    <w:p>
      <w:pPr>
        <w:pStyle w:val="Heading2"/>
        <w:spacing w:before="240" w:after="160"/>
      </w:pPr>
      <w:r>
        <w:rPr>
          <w:rFonts w:ascii="Arial" w:cs="Arial" w:eastAsia="Arial" w:hAnsi="Arial"/>
          <w:b/>
          <w:bCs/>
          <w:color w:val="2E86C1"/>
          <w:sz w:val="28"/>
          <w:szCs w:val="28"/>
        </w:rPr>
        <w:t xml:space="preserve">Monitoring</w:t>
      </w:r>
    </w:p>
    <w:p>
      <w:pPr>
        <w:spacing w:after="120"/>
      </w:pPr>
      <w:r>
        <w:rPr>
          <w:rFonts w:ascii="Arial" w:cs="Arial" w:eastAsia="Arial" w:hAnsi="Arial"/>
          <w:b/>
          <w:bCs/>
          <w:color w:val="1B4F72"/>
          <w:sz w:val="22"/>
          <w:szCs w:val="22"/>
        </w:rPr>
        <w:t xml:space="preserve">0086  </w:t>
      </w:r>
      <w:r>
        <w:rPr>
          <w:rFonts w:ascii="Arial" w:cs="Arial" w:eastAsia="Arial" w:hAnsi="Arial"/>
          <w:sz w:val="22"/>
          <w:szCs w:val="22"/>
        </w:rPr>
        <w:t xml:space="preserve">Projects shall conduct annual monitoring of all selected SD indicators during the crediting period.</w:t>
      </w:r>
    </w:p>
    <w:p>
      <w:pPr>
        <w:spacing w:after="120"/>
      </w:pPr>
      <w:r>
        <w:rPr>
          <w:rFonts w:ascii="Arial" w:cs="Arial" w:eastAsia="Arial" w:hAnsi="Arial"/>
          <w:b/>
          <w:bCs/>
          <w:color w:val="1B4F72"/>
          <w:sz w:val="22"/>
          <w:szCs w:val="22"/>
        </w:rPr>
        <w:t xml:space="preserve">0087  </w:t>
      </w:r>
      <w:r>
        <w:rPr>
          <w:rFonts w:ascii="Arial" w:cs="Arial" w:eastAsia="Arial" w:hAnsi="Arial"/>
          <w:sz w:val="22"/>
          <w:szCs w:val="22"/>
        </w:rPr>
        <w:t xml:space="preserve">Monitoring frequency shall be established at project design stage and may be increased (but not decreased) during project implementation.</w:t>
      </w:r>
    </w:p>
    <w:p>
      <w:pPr>
        <w:spacing w:after="120"/>
      </w:pPr>
      <w:r>
        <w:rPr>
          <w:rFonts w:ascii="Arial" w:cs="Arial" w:eastAsia="Arial" w:hAnsi="Arial"/>
          <w:b/>
          <w:bCs/>
          <w:color w:val="1B4F72"/>
          <w:sz w:val="22"/>
          <w:szCs w:val="22"/>
        </w:rPr>
        <w:t xml:space="preserve">0088  </w:t>
      </w:r>
      <w:r>
        <w:rPr>
          <w:rFonts w:ascii="Arial" w:cs="Arial" w:eastAsia="Arial" w:hAnsi="Arial"/>
          <w:sz w:val="22"/>
          <w:szCs w:val="22"/>
        </w:rPr>
        <w:t xml:space="preserve">Annual monitoring reports shall document actual SD indicator values, compare results to ex-ante estimates and targets, and explain any significant deviations.</w:t>
      </w:r>
    </w:p>
    <w:p>
      <w:pPr>
        <w:spacing w:after="120"/>
      </w:pPr>
      <w:r>
        <w:rPr>
          <w:rFonts w:ascii="Arial" w:cs="Arial" w:eastAsia="Arial" w:hAnsi="Arial"/>
          <w:b/>
          <w:bCs/>
          <w:color w:val="1B4F72"/>
          <w:sz w:val="22"/>
          <w:szCs w:val="22"/>
        </w:rPr>
        <w:t xml:space="preserve">0089  </w:t>
      </w:r>
      <w:r>
        <w:rPr>
          <w:rFonts w:ascii="Arial" w:cs="Arial" w:eastAsia="Arial" w:hAnsi="Arial"/>
          <w:sz w:val="22"/>
          <w:szCs w:val="22"/>
        </w:rPr>
        <w:t xml:space="preserve">Monitoring shall employ the same methodologies established for baseline assessment and ex-ante estimation to ensure comparability of data across time.</w:t>
      </w:r>
    </w:p>
    <w:p>
      <w:pPr>
        <w:spacing w:after="120"/>
      </w:pPr>
      <w:r>
        <w:rPr>
          <w:rFonts w:ascii="Arial" w:cs="Arial" w:eastAsia="Arial" w:hAnsi="Arial"/>
          <w:b/>
          <w:bCs/>
          <w:color w:val="1B4F72"/>
          <w:sz w:val="22"/>
          <w:szCs w:val="22"/>
        </w:rPr>
        <w:t xml:space="preserve">0090  </w:t>
      </w:r>
      <w:r>
        <w:rPr>
          <w:rFonts w:ascii="Arial" w:cs="Arial" w:eastAsia="Arial" w:hAnsi="Arial"/>
          <w:sz w:val="22"/>
          <w:szCs w:val="22"/>
        </w:rPr>
        <w:t xml:space="preserve">Data quality management during monitoring shall include: equipment calibration, competency verification, validation procedures, and corrective action protocols.</w:t>
      </w:r>
    </w:p>
    <w:p>
      <w:pPr>
        <w:spacing w:after="120"/>
      </w:pPr>
      <w:r>
        <w:rPr>
          <w:rFonts w:ascii="Arial" w:cs="Arial" w:eastAsia="Arial" w:hAnsi="Arial"/>
          <w:b/>
          <w:bCs/>
          <w:color w:val="1B4F72"/>
          <w:sz w:val="22"/>
          <w:szCs w:val="22"/>
        </w:rPr>
        <w:t xml:space="preserve">0091  </w:t>
      </w:r>
      <w:r>
        <w:rPr>
          <w:rFonts w:ascii="Arial" w:cs="Arial" w:eastAsia="Arial" w:hAnsi="Arial"/>
          <w:sz w:val="22"/>
          <w:szCs w:val="22"/>
        </w:rPr>
        <w:t xml:space="preserve">Communities and beneficiaries shall be engaged in monitoring activities where feasible, building local capacity for data collection and interpretation.</w:t>
      </w:r>
    </w:p>
    <w:p>
      <w:pPr>
        <w:spacing w:after="120"/>
      </w:pPr>
      <w:r>
        <w:rPr>
          <w:rFonts w:ascii="Arial" w:cs="Arial" w:eastAsia="Arial" w:hAnsi="Arial"/>
          <w:b/>
          <w:bCs/>
          <w:color w:val="1B4F72"/>
          <w:sz w:val="22"/>
          <w:szCs w:val="22"/>
        </w:rPr>
        <w:t xml:space="preserve">0092  </w:t>
      </w:r>
      <w:r>
        <w:rPr>
          <w:rFonts w:ascii="Arial" w:cs="Arial" w:eastAsia="Arial" w:hAnsi="Arial"/>
          <w:sz w:val="22"/>
          <w:szCs w:val="22"/>
        </w:rPr>
        <w:t xml:space="preserve">Monitoring data shall be maintained in secure databases with access controls and audit trails.</w:t>
      </w:r>
    </w:p>
    <w:p>
      <w:pPr>
        <w:spacing w:after="120"/>
      </w:pPr>
      <w:r>
        <w:rPr>
          <w:rFonts w:ascii="Arial" w:cs="Arial" w:eastAsia="Arial" w:hAnsi="Arial"/>
          <w:b/>
          <w:bCs/>
          <w:color w:val="1B4F72"/>
          <w:sz w:val="22"/>
          <w:szCs w:val="22"/>
        </w:rPr>
        <w:t xml:space="preserve">0093  </w:t>
      </w:r>
      <w:r>
        <w:rPr>
          <w:rFonts w:ascii="Arial" w:cs="Arial" w:eastAsia="Arial" w:hAnsi="Arial"/>
          <w:sz w:val="22"/>
          <w:szCs w:val="22"/>
        </w:rPr>
        <w:t xml:space="preserve">Projects shall establish remedial action protocols if monitoring reveals SD benefits are significantly below ex-ante estimates.</w:t>
      </w:r>
    </w:p>
    <w:p>
      <w:pPr>
        <w:spacing w:after="120"/>
      </w:pPr>
      <w:r>
        <w:rPr>
          <w:rFonts w:ascii="Arial" w:cs="Arial" w:eastAsia="Arial" w:hAnsi="Arial"/>
          <w:b/>
          <w:bCs/>
          <w:color w:val="1B4F72"/>
          <w:sz w:val="22"/>
          <w:szCs w:val="22"/>
        </w:rPr>
        <w:t xml:space="preserve">0094  </w:t>
      </w:r>
      <w:r>
        <w:rPr>
          <w:rFonts w:ascii="Arial" w:cs="Arial" w:eastAsia="Arial" w:hAnsi="Arial"/>
          <w:sz w:val="22"/>
          <w:szCs w:val="22"/>
        </w:rPr>
        <w:t xml:space="preserve">Incomplete or failed monitoring data collection shall be documented with explanation and mitigation measures applied in subsequent periods.</w:t>
      </w:r>
    </w:p>
    <w:p>
      <w:pPr>
        <w:pStyle w:val="Heading2"/>
        <w:spacing w:before="240" w:after="160"/>
      </w:pPr>
      <w:r>
        <w:rPr>
          <w:rFonts w:ascii="Arial" w:cs="Arial" w:eastAsia="Arial" w:hAnsi="Arial"/>
          <w:b/>
          <w:bCs/>
          <w:color w:val="2E86C1"/>
          <w:sz w:val="28"/>
          <w:szCs w:val="28"/>
        </w:rPr>
        <w:t xml:space="preserve">Reporting</w:t>
      </w:r>
    </w:p>
    <w:p>
      <w:pPr>
        <w:spacing w:after="120"/>
      </w:pPr>
      <w:r>
        <w:rPr>
          <w:rFonts w:ascii="Arial" w:cs="Arial" w:eastAsia="Arial" w:hAnsi="Arial"/>
          <w:b/>
          <w:bCs/>
          <w:color w:val="1B4F72"/>
          <w:sz w:val="22"/>
          <w:szCs w:val="22"/>
        </w:rPr>
        <w:t xml:space="preserve">0095  </w:t>
      </w:r>
      <w:r>
        <w:rPr>
          <w:rFonts w:ascii="Arial" w:cs="Arial" w:eastAsia="Arial" w:hAnsi="Arial"/>
          <w:sz w:val="22"/>
          <w:szCs w:val="22"/>
        </w:rPr>
        <w:t xml:space="preserve">Projects shall submit annual SD Contribution Reports as part of their routine monitoring report submissions.</w:t>
      </w:r>
    </w:p>
    <w:p>
      <w:pPr>
        <w:spacing w:after="120"/>
      </w:pPr>
      <w:r>
        <w:rPr>
          <w:rFonts w:ascii="Arial" w:cs="Arial" w:eastAsia="Arial" w:hAnsi="Arial"/>
          <w:b/>
          <w:bCs/>
          <w:color w:val="1B4F72"/>
          <w:sz w:val="22"/>
          <w:szCs w:val="22"/>
        </w:rPr>
        <w:t xml:space="preserve">0096  </w:t>
      </w:r>
      <w:r>
        <w:rPr>
          <w:rFonts w:ascii="Arial" w:cs="Arial" w:eastAsia="Arial" w:hAnsi="Arial"/>
          <w:sz w:val="22"/>
          <w:szCs w:val="22"/>
        </w:rPr>
        <w:t xml:space="preserve">SD Contribution Reports shall include: (a) current year indicator data with quality assurance documentation, (b) comparison to baseline and ex-ante estimates, (c) cumulative progress toward targets, (d) challenges encountered and adaptive management responses, and (e) updated projections of final SD achievement.</w:t>
      </w:r>
    </w:p>
    <w:p>
      <w:pPr>
        <w:spacing w:after="120"/>
      </w:pPr>
      <w:r>
        <w:rPr>
          <w:rFonts w:ascii="Arial" w:cs="Arial" w:eastAsia="Arial" w:hAnsi="Arial"/>
          <w:b/>
          <w:bCs/>
          <w:color w:val="1B4F72"/>
          <w:sz w:val="22"/>
          <w:szCs w:val="22"/>
        </w:rPr>
        <w:t xml:space="preserve">0097  </w:t>
      </w:r>
      <w:r>
        <w:rPr>
          <w:rFonts w:ascii="Arial" w:cs="Arial" w:eastAsia="Arial" w:hAnsi="Arial"/>
          <w:sz w:val="22"/>
          <w:szCs w:val="22"/>
        </w:rPr>
        <w:t xml:space="preserve">Reports shall employ standardized templates provided by MCC to enable portfolio-level analysis and synthesis.</w:t>
      </w:r>
    </w:p>
    <w:p>
      <w:pPr>
        <w:spacing w:after="120"/>
      </w:pPr>
      <w:r>
        <w:rPr>
          <w:rFonts w:ascii="Arial" w:cs="Arial" w:eastAsia="Arial" w:hAnsi="Arial"/>
          <w:b/>
          <w:bCs/>
          <w:color w:val="1B4F72"/>
          <w:sz w:val="22"/>
          <w:szCs w:val="22"/>
        </w:rPr>
        <w:t xml:space="preserve">0098  </w:t>
      </w:r>
      <w:r>
        <w:rPr>
          <w:rFonts w:ascii="Arial" w:cs="Arial" w:eastAsia="Arial" w:hAnsi="Arial"/>
          <w:sz w:val="22"/>
          <w:szCs w:val="22"/>
        </w:rPr>
        <w:t xml:space="preserve">Significant deviations from ex-ante estimates shall be explained with supporting documentation.</w:t>
      </w:r>
    </w:p>
    <w:p>
      <w:pPr>
        <w:spacing w:after="120"/>
      </w:pPr>
      <w:r>
        <w:rPr>
          <w:rFonts w:ascii="Arial" w:cs="Arial" w:eastAsia="Arial" w:hAnsi="Arial"/>
          <w:b/>
          <w:bCs/>
          <w:color w:val="1B4F72"/>
          <w:sz w:val="22"/>
          <w:szCs w:val="22"/>
        </w:rPr>
        <w:t xml:space="preserve">0099  </w:t>
      </w:r>
      <w:r>
        <w:rPr>
          <w:rFonts w:ascii="Arial" w:cs="Arial" w:eastAsia="Arial" w:hAnsi="Arial"/>
          <w:sz w:val="22"/>
          <w:szCs w:val="22"/>
        </w:rPr>
        <w:t xml:space="preserve">Reports shall be made publicly available on the MCC registry within 30 days of submission, subject to confidentiality provisions for sensitive commercial or beneficiary information.</w:t>
      </w:r>
    </w:p>
    <w:p>
      <w:pPr>
        <w:spacing w:after="120"/>
      </w:pPr>
      <w:r>
        <w:rPr>
          <w:rFonts w:ascii="Arial" w:cs="Arial" w:eastAsia="Arial" w:hAnsi="Arial"/>
          <w:b/>
          <w:bCs/>
          <w:color w:val="1B4F72"/>
          <w:sz w:val="22"/>
          <w:szCs w:val="22"/>
        </w:rPr>
        <w:t xml:space="preserve">0100  </w:t>
      </w:r>
      <w:r>
        <w:rPr>
          <w:rFonts w:ascii="Arial" w:cs="Arial" w:eastAsia="Arial" w:hAnsi="Arial"/>
          <w:sz w:val="22"/>
          <w:szCs w:val="22"/>
        </w:rPr>
        <w:t xml:space="preserve">Annual synthesis reports shall aggregate SD results across the MCC portfolio, enabling impact communication and learning.</w:t>
      </w:r>
    </w:p>
    <w:p>
      <w:pPr>
        <w:pStyle w:val="Heading2"/>
        <w:spacing w:before="240" w:after="160"/>
      </w:pPr>
      <w:r>
        <w:rPr>
          <w:rFonts w:ascii="Arial" w:cs="Arial" w:eastAsia="Arial" w:hAnsi="Arial"/>
          <w:b/>
          <w:bCs/>
          <w:color w:val="2E86C1"/>
          <w:sz w:val="28"/>
          <w:szCs w:val="28"/>
        </w:rPr>
        <w:t xml:space="preserve">Verification</w:t>
      </w:r>
    </w:p>
    <w:p>
      <w:pPr>
        <w:spacing w:after="120"/>
      </w:pPr>
      <w:r>
        <w:rPr>
          <w:rFonts w:ascii="Arial" w:cs="Arial" w:eastAsia="Arial" w:hAnsi="Arial"/>
          <w:b/>
          <w:bCs/>
          <w:color w:val="1B4F72"/>
          <w:sz w:val="22"/>
          <w:szCs w:val="22"/>
        </w:rPr>
        <w:t xml:space="preserve">0101  </w:t>
      </w:r>
      <w:r>
        <w:rPr>
          <w:rFonts w:ascii="Arial" w:cs="Arial" w:eastAsia="Arial" w:hAnsi="Arial"/>
          <w:sz w:val="22"/>
          <w:szCs w:val="22"/>
        </w:rPr>
        <w:t xml:space="preserve">Validation and Verification Bodies (VVBs) shall verify all SD assessment and monitoring claims during initial validation and periodic verification activities.</w:t>
      </w:r>
    </w:p>
    <w:p>
      <w:pPr>
        <w:spacing w:after="120"/>
      </w:pPr>
      <w:r>
        <w:rPr>
          <w:rFonts w:ascii="Arial" w:cs="Arial" w:eastAsia="Arial" w:hAnsi="Arial"/>
          <w:b/>
          <w:bCs/>
          <w:color w:val="1B4F72"/>
          <w:sz w:val="22"/>
          <w:szCs w:val="22"/>
        </w:rPr>
        <w:t xml:space="preserve">0102  </w:t>
      </w:r>
      <w:r>
        <w:rPr>
          <w:rFonts w:ascii="Arial" w:cs="Arial" w:eastAsia="Arial" w:hAnsi="Arial"/>
          <w:sz w:val="22"/>
          <w:szCs w:val="22"/>
        </w:rPr>
        <w:t xml:space="preserve">VVBs shall assess: (a) appropriateness of selected indicators to project context, (b) quality and credibility of baseline assessment, (c) reasonableness of ex-ante estimates, (d) accuracy of monitoring data and measurement methodologies, (e) completeness and transparency of documentation, and (f) materiality of SD benefits relative to claims.</w:t>
      </w:r>
    </w:p>
    <w:p>
      <w:pPr>
        <w:spacing w:after="120"/>
      </w:pPr>
      <w:r>
        <w:rPr>
          <w:rFonts w:ascii="Arial" w:cs="Arial" w:eastAsia="Arial" w:hAnsi="Arial"/>
          <w:b/>
          <w:bCs/>
          <w:color w:val="1B4F72"/>
          <w:sz w:val="22"/>
          <w:szCs w:val="22"/>
        </w:rPr>
        <w:t xml:space="preserve">0103  </w:t>
      </w:r>
      <w:r>
        <w:rPr>
          <w:rFonts w:ascii="Arial" w:cs="Arial" w:eastAsia="Arial" w:hAnsi="Arial"/>
          <w:sz w:val="22"/>
          <w:szCs w:val="22"/>
        </w:rPr>
        <w:t xml:space="preserve">VVBs shall conduct site visits to verify monitoring activities, inspect equipment calibration records, interview beneficiaries and project staff, and assess implementation of quality assurance procedures.</w:t>
      </w:r>
    </w:p>
    <w:p>
      <w:pPr>
        <w:spacing w:after="120"/>
      </w:pPr>
      <w:r>
        <w:rPr>
          <w:rFonts w:ascii="Arial" w:cs="Arial" w:eastAsia="Arial" w:hAnsi="Arial"/>
          <w:b/>
          <w:bCs/>
          <w:color w:val="1B4F72"/>
          <w:sz w:val="22"/>
          <w:szCs w:val="22"/>
        </w:rPr>
        <w:t xml:space="preserve">0104  </w:t>
      </w:r>
      <w:r>
        <w:rPr>
          <w:rFonts w:ascii="Arial" w:cs="Arial" w:eastAsia="Arial" w:hAnsi="Arial"/>
          <w:sz w:val="22"/>
          <w:szCs w:val="22"/>
        </w:rPr>
        <w:t xml:space="preserve">VVBs shall verify at least 5% of beneficiary records through direct contact or household surveys to validate self-reported data.</w:t>
      </w:r>
    </w:p>
    <w:p>
      <w:pPr>
        <w:spacing w:after="120"/>
      </w:pPr>
      <w:r>
        <w:rPr>
          <w:rFonts w:ascii="Arial" w:cs="Arial" w:eastAsia="Arial" w:hAnsi="Arial"/>
          <w:b/>
          <w:bCs/>
          <w:color w:val="1B4F72"/>
          <w:sz w:val="22"/>
          <w:szCs w:val="22"/>
        </w:rPr>
        <w:t xml:space="preserve">0105  </w:t>
      </w:r>
      <w:r>
        <w:rPr>
          <w:rFonts w:ascii="Arial" w:cs="Arial" w:eastAsia="Arial" w:hAnsi="Arial"/>
          <w:sz w:val="22"/>
          <w:szCs w:val="22"/>
        </w:rPr>
        <w:t xml:space="preserve">Verification reports shall document VVBs' assessment of SD contribution credibility and recommendations for improvements.</w:t>
      </w:r>
    </w:p>
    <w:p>
      <w:pPr>
        <w:spacing w:after="120"/>
      </w:pPr>
      <w:r>
        <w:rPr>
          <w:rFonts w:ascii="Arial" w:cs="Arial" w:eastAsia="Arial" w:hAnsi="Arial"/>
          <w:b/>
          <w:bCs/>
          <w:color w:val="1B4F72"/>
          <w:sz w:val="22"/>
          <w:szCs w:val="22"/>
        </w:rPr>
        <w:t xml:space="preserve">0106  </w:t>
      </w:r>
      <w:r>
        <w:rPr>
          <w:rFonts w:ascii="Arial" w:cs="Arial" w:eastAsia="Arial" w:hAnsi="Arial"/>
          <w:sz w:val="22"/>
          <w:szCs w:val="22"/>
        </w:rPr>
        <w:t xml:space="preserve">Projects receiving adverse verification findings shall have opportunity to respond and provide additional evidence prior to finalization of verification reports.</w:t>
      </w:r>
    </w:p>
    <w:p>
      <w:pPr>
        <w:spacing w:after="120"/>
      </w:pPr>
      <w:r>
        <w:rPr>
          <w:rFonts w:ascii="Arial" w:cs="Arial" w:eastAsia="Arial" w:hAnsi="Arial"/>
          <w:b/>
          <w:bCs/>
          <w:color w:val="1B4F72"/>
          <w:sz w:val="22"/>
          <w:szCs w:val="22"/>
        </w:rPr>
        <w:t xml:space="preserve">0107  </w:t>
      </w:r>
      <w:r>
        <w:rPr>
          <w:rFonts w:ascii="Arial" w:cs="Arial" w:eastAsia="Arial" w:hAnsi="Arial"/>
          <w:sz w:val="22"/>
          <w:szCs w:val="22"/>
        </w:rPr>
        <w:t xml:space="preserve">SD verification shall be subject to same public comment periods and appeal procedures as carbon verification under MCC protocols.</w:t>
      </w:r>
    </w:p>
    <w:p>
      <w:pPr>
        <w:pStyle w:val="Heading2"/>
        <w:spacing w:before="240" w:after="160"/>
      </w:pPr>
      <w:r>
        <w:rPr>
          <w:rFonts w:ascii="Arial" w:cs="Arial" w:eastAsia="Arial" w:hAnsi="Arial"/>
          <w:b/>
          <w:bCs/>
          <w:color w:val="2E86C1"/>
          <w:sz w:val="28"/>
          <w:szCs w:val="28"/>
        </w:rPr>
        <w:t xml:space="preserve">Scoring</w:t>
      </w:r>
    </w:p>
    <w:p>
      <w:pPr>
        <w:spacing w:after="120"/>
      </w:pPr>
      <w:r>
        <w:rPr>
          <w:rFonts w:ascii="Arial" w:cs="Arial" w:eastAsia="Arial" w:hAnsi="Arial"/>
          <w:b/>
          <w:bCs/>
          <w:color w:val="1B4F72"/>
          <w:sz w:val="22"/>
          <w:szCs w:val="22"/>
        </w:rPr>
        <w:t xml:space="preserve">0108  </w:t>
      </w:r>
      <w:r>
        <w:rPr>
          <w:rFonts w:ascii="Arial" w:cs="Arial" w:eastAsia="Arial" w:hAnsi="Arial"/>
          <w:sz w:val="22"/>
          <w:szCs w:val="22"/>
        </w:rPr>
        <w:t xml:space="preserve">Projects shall receive an SD contribution score for each indicator on a scale of 1 to 5, with scoring criteria as follows:</w:t>
      </w:r>
    </w:p>
    <w:p>
      <w:pPr>
        <w:spacing w:after="120"/>
      </w:pPr>
      <w:r>
        <w:rPr>
          <w:rFonts w:ascii="Arial" w:cs="Arial" w:eastAsia="Arial" w:hAnsi="Arial"/>
          <w:b/>
          <w:bCs/>
          <w:color w:val="1B4F72"/>
          <w:sz w:val="22"/>
          <w:szCs w:val="22"/>
        </w:rPr>
        <w:t xml:space="preserve">0109  </w:t>
      </w:r>
      <w:r>
        <w:rPr>
          <w:rFonts w:ascii="Arial" w:cs="Arial" w:eastAsia="Arial" w:hAnsi="Arial"/>
          <w:sz w:val="22"/>
          <w:szCs w:val="22"/>
        </w:rPr>
        <w:t xml:space="preserve">Score 1 (Minimal contribution): Indicator shows minimal change from baseline or less than 25% of ex-ante target achieved.</w:t>
      </w:r>
    </w:p>
    <w:p>
      <w:pPr>
        <w:spacing w:after="120"/>
      </w:pPr>
      <w:r>
        <w:rPr>
          <w:rFonts w:ascii="Arial" w:cs="Arial" w:eastAsia="Arial" w:hAnsi="Arial"/>
          <w:b/>
          <w:bCs/>
          <w:color w:val="1B4F72"/>
          <w:sz w:val="22"/>
          <w:szCs w:val="22"/>
        </w:rPr>
        <w:t xml:space="preserve">0110  </w:t>
      </w:r>
      <w:r>
        <w:rPr>
          <w:rFonts w:ascii="Arial" w:cs="Arial" w:eastAsia="Arial" w:hAnsi="Arial"/>
          <w:sz w:val="22"/>
          <w:szCs w:val="22"/>
        </w:rPr>
        <w:t xml:space="preserve">Score 2 (Limited contribution): Indicator shows modest change from baseline or 25-50% of ex-ante target achieved.</w:t>
      </w:r>
    </w:p>
    <w:p>
      <w:pPr>
        <w:spacing w:after="120"/>
      </w:pPr>
      <w:r>
        <w:rPr>
          <w:rFonts w:ascii="Arial" w:cs="Arial" w:eastAsia="Arial" w:hAnsi="Arial"/>
          <w:b/>
          <w:bCs/>
          <w:color w:val="1B4F72"/>
          <w:sz w:val="22"/>
          <w:szCs w:val="22"/>
        </w:rPr>
        <w:t xml:space="preserve">0111  </w:t>
      </w:r>
      <w:r>
        <w:rPr>
          <w:rFonts w:ascii="Arial" w:cs="Arial" w:eastAsia="Arial" w:hAnsi="Arial"/>
          <w:sz w:val="22"/>
          <w:szCs w:val="22"/>
        </w:rPr>
        <w:t xml:space="preserve">Score 3 (Significant contribution): Indicator shows meaningful change from baseline or 50-75% of ex-ante target achieved.</w:t>
      </w:r>
    </w:p>
    <w:p>
      <w:pPr>
        <w:spacing w:after="120"/>
      </w:pPr>
      <w:r>
        <w:rPr>
          <w:rFonts w:ascii="Arial" w:cs="Arial" w:eastAsia="Arial" w:hAnsi="Arial"/>
          <w:b/>
          <w:bCs/>
          <w:color w:val="1B4F72"/>
          <w:sz w:val="22"/>
          <w:szCs w:val="22"/>
        </w:rPr>
        <w:t xml:space="preserve">0112  </w:t>
      </w:r>
      <w:r>
        <w:rPr>
          <w:rFonts w:ascii="Arial" w:cs="Arial" w:eastAsia="Arial" w:hAnsi="Arial"/>
          <w:sz w:val="22"/>
          <w:szCs w:val="22"/>
        </w:rPr>
        <w:t xml:space="preserve">Score 4 (Strong contribution): Indicator shows substantial change from baseline or 75-90% of ex-ante target achieved.</w:t>
      </w:r>
    </w:p>
    <w:p>
      <w:pPr>
        <w:spacing w:after="120"/>
      </w:pPr>
      <w:r>
        <w:rPr>
          <w:rFonts w:ascii="Arial" w:cs="Arial" w:eastAsia="Arial" w:hAnsi="Arial"/>
          <w:b/>
          <w:bCs/>
          <w:color w:val="1B4F72"/>
          <w:sz w:val="22"/>
          <w:szCs w:val="22"/>
        </w:rPr>
        <w:t xml:space="preserve">0113  </w:t>
      </w:r>
      <w:r>
        <w:rPr>
          <w:rFonts w:ascii="Arial" w:cs="Arial" w:eastAsia="Arial" w:hAnsi="Arial"/>
          <w:sz w:val="22"/>
          <w:szCs w:val="22"/>
        </w:rPr>
        <w:t xml:space="preserve">Score 5 (Transformative contribution): Indicator shows transformative change from baseline or 90% or greater of ex-ante target achieved.</w:t>
      </w:r>
    </w:p>
    <w:p>
      <w:pPr>
        <w:spacing w:after="120"/>
      </w:pPr>
      <w:r>
        <w:rPr>
          <w:rFonts w:ascii="Arial" w:cs="Arial" w:eastAsia="Arial" w:hAnsi="Arial"/>
          <w:b/>
          <w:bCs/>
          <w:color w:val="1B4F72"/>
          <w:sz w:val="22"/>
          <w:szCs w:val="22"/>
        </w:rPr>
        <w:t xml:space="preserve">0114  </w:t>
      </w:r>
      <w:r>
        <w:rPr>
          <w:rFonts w:ascii="Arial" w:cs="Arial" w:eastAsia="Arial" w:hAnsi="Arial"/>
          <w:sz w:val="22"/>
          <w:szCs w:val="22"/>
        </w:rPr>
        <w:t xml:space="preserve">Scoring shall account for: (a) magnitude of change relative to baseline, (b) achievement relative to targets, (c) sustainability of benefits beyond project period, (d) scale of beneficiary population, and (e) additionality of benefits beyond business-as-usual scenario.</w:t>
      </w:r>
    </w:p>
    <w:p>
      <w:pPr>
        <w:spacing w:after="120"/>
      </w:pPr>
      <w:r>
        <w:rPr>
          <w:rFonts w:ascii="Arial" w:cs="Arial" w:eastAsia="Arial" w:hAnsi="Arial"/>
          <w:b/>
          <w:bCs/>
          <w:color w:val="1B4F72"/>
          <w:sz w:val="22"/>
          <w:szCs w:val="22"/>
        </w:rPr>
        <w:t xml:space="preserve">0115  </w:t>
      </w:r>
      <w:r>
        <w:rPr>
          <w:rFonts w:ascii="Arial" w:cs="Arial" w:eastAsia="Arial" w:hAnsi="Arial"/>
          <w:sz w:val="22"/>
          <w:szCs w:val="22"/>
        </w:rPr>
        <w:t xml:space="preserve">Score 4 and 5 (Strong and Transformative) benefits shall include verification that benefits shall persist beyond the project crediting period through institutional arrangements, contractual commitments, or self-sustaining mechanisms.</w:t>
      </w:r>
    </w:p>
    <w:p>
      <w:pPr>
        <w:spacing w:after="120"/>
      </w:pPr>
      <w:r>
        <w:rPr>
          <w:rFonts w:ascii="Arial" w:cs="Arial" w:eastAsia="Arial" w:hAnsi="Arial"/>
          <w:b/>
          <w:bCs/>
          <w:color w:val="1B4F72"/>
          <w:sz w:val="22"/>
          <w:szCs w:val="22"/>
        </w:rPr>
        <w:t xml:space="preserve">0116  </w:t>
      </w:r>
      <w:r>
        <w:rPr>
          <w:rFonts w:ascii="Arial" w:cs="Arial" w:eastAsia="Arial" w:hAnsi="Arial"/>
          <w:sz w:val="22"/>
          <w:szCs w:val="22"/>
        </w:rPr>
        <w:t xml:space="preserve">Scores shall be assigned by VVBs during verification and shall be documented in verification reports with full justification.</w:t>
      </w:r>
    </w:p>
    <w:p>
      <w:pPr>
        <w:spacing w:after="120"/>
      </w:pPr>
      <w:r>
        <w:rPr>
          <w:rFonts w:ascii="Arial" w:cs="Arial" w:eastAsia="Arial" w:hAnsi="Arial"/>
          <w:b/>
          <w:bCs/>
          <w:color w:val="1B4F72"/>
          <w:sz w:val="22"/>
          <w:szCs w:val="22"/>
        </w:rPr>
        <w:t xml:space="preserve">0117  </w:t>
      </w:r>
      <w:r>
        <w:rPr>
          <w:rFonts w:ascii="Arial" w:cs="Arial" w:eastAsia="Arial" w:hAnsi="Arial"/>
          <w:sz w:val="22"/>
          <w:szCs w:val="22"/>
        </w:rPr>
        <w:t xml:space="preserve">Portfolio-level scoring shall aggregate individual indicator scores to enable project ranking and SD label determination.</w:t>
      </w:r>
    </w:p>
    <w:p>
      <w:r>
        <w:br w:type="page"/>
      </w:r>
    </w:p>
    <w:p>
      <w:pPr>
        <w:pStyle w:val="Heading1"/>
        <w:spacing w:before="360" w:after="240"/>
      </w:pPr>
      <w:r>
        <w:rPr>
          <w:rFonts w:ascii="Arial" w:cs="Arial" w:eastAsia="Arial" w:hAnsi="Arial"/>
          <w:b/>
          <w:bCs/>
          <w:color w:val="1B4F72"/>
          <w:sz w:val="32"/>
          <w:szCs w:val="32"/>
        </w:rPr>
        <w:t xml:space="preserve">SD CONTRIBUTION CLAIMS AND LABELLING</w:t>
      </w:r>
    </w:p>
    <w:p>
      <w:pPr>
        <w:spacing w:after="120"/>
      </w:pPr>
      <w:r>
        <w:rPr>
          <w:rFonts w:ascii="Arial" w:cs="Arial" w:eastAsia="Arial" w:hAnsi="Arial"/>
          <w:b/>
          <w:bCs/>
          <w:color w:val="1B4F72"/>
          <w:sz w:val="22"/>
          <w:szCs w:val="22"/>
        </w:rPr>
        <w:t xml:space="preserve">0118  </w:t>
      </w:r>
      <w:r>
        <w:rPr>
          <w:rFonts w:ascii="Arial" w:cs="Arial" w:eastAsia="Arial" w:hAnsi="Arial"/>
          <w:sz w:val="22"/>
          <w:szCs w:val="22"/>
        </w:rPr>
        <w:t xml:space="preserve">MCC shall award specific labels to projects demonstrating significant SD contributions, enhancing market recognition and premium pricing.</w:t>
      </w:r>
    </w:p>
    <w:p>
      <w:pPr>
        <w:spacing w:after="120"/>
      </w:pPr>
      <w:r>
        <w:rPr>
          <w:rFonts w:ascii="Arial" w:cs="Arial" w:eastAsia="Arial" w:hAnsi="Arial"/>
          <w:b/>
          <w:bCs/>
          <w:color w:val="1B4F72"/>
          <w:sz w:val="22"/>
          <w:szCs w:val="22"/>
        </w:rPr>
        <w:t xml:space="preserve">0119  </w:t>
      </w:r>
      <w:r>
        <w:rPr>
          <w:rFonts w:ascii="Arial" w:cs="Arial" w:eastAsia="Arial" w:hAnsi="Arial"/>
          <w:sz w:val="22"/>
          <w:szCs w:val="22"/>
        </w:rPr>
        <w:t xml:space="preserve">Projects achieving an average SD contribution score of 3.0 or greater across all identified indicators shall receive the 'MCC SD Verified' label.</w:t>
      </w:r>
    </w:p>
    <w:p>
      <w:pPr>
        <w:spacing w:after="120"/>
      </w:pPr>
      <w:r>
        <w:rPr>
          <w:rFonts w:ascii="Arial" w:cs="Arial" w:eastAsia="Arial" w:hAnsi="Arial"/>
          <w:b/>
          <w:bCs/>
          <w:color w:val="1B4F72"/>
          <w:sz w:val="22"/>
          <w:szCs w:val="22"/>
        </w:rPr>
        <w:t xml:space="preserve">0120  </w:t>
      </w:r>
      <w:r>
        <w:rPr>
          <w:rFonts w:ascii="Arial" w:cs="Arial" w:eastAsia="Arial" w:hAnsi="Arial"/>
          <w:sz w:val="22"/>
          <w:szCs w:val="22"/>
        </w:rPr>
        <w:t xml:space="preserve">Projects achieving an average SD contribution score of 4.0 or greater on a minimum of three separate SDGs shall receive the 'MCC SD Gold' label.</w:t>
      </w:r>
    </w:p>
    <w:p>
      <w:pPr>
        <w:spacing w:after="120"/>
      </w:pPr>
      <w:r>
        <w:rPr>
          <w:rFonts w:ascii="Arial" w:cs="Arial" w:eastAsia="Arial" w:hAnsi="Arial"/>
          <w:b/>
          <w:bCs/>
          <w:color w:val="1B4F72"/>
          <w:sz w:val="22"/>
          <w:szCs w:val="22"/>
        </w:rPr>
        <w:t xml:space="preserve">0121  </w:t>
      </w:r>
      <w:r>
        <w:rPr>
          <w:rFonts w:ascii="Arial" w:cs="Arial" w:eastAsia="Arial" w:hAnsi="Arial"/>
          <w:sz w:val="22"/>
          <w:szCs w:val="22"/>
        </w:rPr>
        <w:t xml:space="preserve">SD labels shall be prominently displayed on the MCC public registry alongside project information, methodology, credit volume, and vintage.</w:t>
      </w:r>
    </w:p>
    <w:p>
      <w:pPr>
        <w:spacing w:after="120"/>
      </w:pPr>
      <w:r>
        <w:rPr>
          <w:rFonts w:ascii="Arial" w:cs="Arial" w:eastAsia="Arial" w:hAnsi="Arial"/>
          <w:b/>
          <w:bCs/>
          <w:color w:val="1B4F72"/>
          <w:sz w:val="22"/>
          <w:szCs w:val="22"/>
        </w:rPr>
        <w:t xml:space="preserve">0122  </w:t>
      </w:r>
      <w:r>
        <w:rPr>
          <w:rFonts w:ascii="Arial" w:cs="Arial" w:eastAsia="Arial" w:hAnsi="Arial"/>
          <w:sz w:val="22"/>
          <w:szCs w:val="22"/>
        </w:rPr>
        <w:t xml:space="preserve">SD labels shall be used in MCC marketing materials, buyer communications, and credit trading platforms to differentiate high-impact projects.</w:t>
      </w:r>
    </w:p>
    <w:p>
      <w:pPr>
        <w:spacing w:after="120"/>
      </w:pPr>
      <w:r>
        <w:rPr>
          <w:rFonts w:ascii="Arial" w:cs="Arial" w:eastAsia="Arial" w:hAnsi="Arial"/>
          <w:b/>
          <w:bCs/>
          <w:color w:val="1B4F72"/>
          <w:sz w:val="22"/>
          <w:szCs w:val="22"/>
        </w:rPr>
        <w:t xml:space="preserve">0123  </w:t>
      </w:r>
      <w:r>
        <w:rPr>
          <w:rFonts w:ascii="Arial" w:cs="Arial" w:eastAsia="Arial" w:hAnsi="Arial"/>
          <w:sz w:val="22"/>
          <w:szCs w:val="22"/>
        </w:rPr>
        <w:t xml:space="preserve">SD labelling shall not affect credit volume issuance; all projects issue the same quantity of credits based on carbon sequestration or avoidance regardless of SD label status.</w:t>
      </w:r>
    </w:p>
    <w:p>
      <w:pPr>
        <w:spacing w:after="120"/>
      </w:pPr>
      <w:r>
        <w:rPr>
          <w:rFonts w:ascii="Arial" w:cs="Arial" w:eastAsia="Arial" w:hAnsi="Arial"/>
          <w:b/>
          <w:bCs/>
          <w:color w:val="1B4F72"/>
          <w:sz w:val="22"/>
          <w:szCs w:val="22"/>
        </w:rPr>
        <w:t xml:space="preserve">0124  </w:t>
      </w:r>
      <w:r>
        <w:rPr>
          <w:rFonts w:ascii="Arial" w:cs="Arial" w:eastAsia="Arial" w:hAnsi="Arial"/>
          <w:sz w:val="22"/>
          <w:szCs w:val="22"/>
        </w:rPr>
        <w:t xml:space="preserve">SD labels shall enhance credit market value, enabling SD-labelled projects to potentially command premium pricing from buyers with SD mandates.</w:t>
      </w:r>
    </w:p>
    <w:p>
      <w:pPr>
        <w:spacing w:after="120"/>
      </w:pPr>
      <w:r>
        <w:rPr>
          <w:rFonts w:ascii="Arial" w:cs="Arial" w:eastAsia="Arial" w:hAnsi="Arial"/>
          <w:b/>
          <w:bCs/>
          <w:color w:val="1B4F72"/>
          <w:sz w:val="22"/>
          <w:szCs w:val="22"/>
        </w:rPr>
        <w:t xml:space="preserve">0125  </w:t>
      </w:r>
      <w:r>
        <w:rPr>
          <w:rFonts w:ascii="Arial" w:cs="Arial" w:eastAsia="Arial" w:hAnsi="Arial"/>
          <w:sz w:val="22"/>
          <w:szCs w:val="22"/>
        </w:rPr>
        <w:t xml:space="preserve">Projects claiming SD contributions must substantiate all claims through documented baselines, ex-ante estimates, monitoring data, and verification reports.</w:t>
      </w:r>
    </w:p>
    <w:p>
      <w:pPr>
        <w:spacing w:after="120"/>
      </w:pPr>
      <w:r>
        <w:rPr>
          <w:rFonts w:ascii="Arial" w:cs="Arial" w:eastAsia="Arial" w:hAnsi="Arial"/>
          <w:b/>
          <w:bCs/>
          <w:color w:val="1B4F72"/>
          <w:sz w:val="22"/>
          <w:szCs w:val="22"/>
        </w:rPr>
        <w:t xml:space="preserve">0126  </w:t>
      </w:r>
      <w:r>
        <w:rPr>
          <w:rFonts w:ascii="Arial" w:cs="Arial" w:eastAsia="Arial" w:hAnsi="Arial"/>
          <w:sz w:val="22"/>
          <w:szCs w:val="22"/>
        </w:rPr>
        <w:t xml:space="preserve">Unsubstantiated SD claims shall result in denial of SD labels and may result in project decertification if claims are found to be fraudulent.</w:t>
      </w:r>
    </w:p>
    <w:p>
      <w:pPr>
        <w:spacing w:after="120"/>
      </w:pPr>
      <w:r>
        <w:rPr>
          <w:rFonts w:ascii="Arial" w:cs="Arial" w:eastAsia="Arial" w:hAnsi="Arial"/>
          <w:b/>
          <w:bCs/>
          <w:color w:val="1B4F72"/>
          <w:sz w:val="22"/>
          <w:szCs w:val="22"/>
        </w:rPr>
        <w:t xml:space="preserve">0127  </w:t>
      </w:r>
      <w:r>
        <w:rPr>
          <w:rFonts w:ascii="Arial" w:cs="Arial" w:eastAsia="Arial" w:hAnsi="Arial"/>
          <w:sz w:val="22"/>
          <w:szCs w:val="22"/>
        </w:rPr>
        <w:t xml:space="preserve">Projects shall not misrepresent or exaggerate SD benefits to boost market appeal.</w:t>
      </w:r>
    </w:p>
    <w:p>
      <w:pPr>
        <w:spacing w:after="120"/>
      </w:pPr>
      <w:r>
        <w:rPr>
          <w:rFonts w:ascii="Arial" w:cs="Arial" w:eastAsia="Arial" w:hAnsi="Arial"/>
          <w:b/>
          <w:bCs/>
          <w:color w:val="1B4F72"/>
          <w:sz w:val="22"/>
          <w:szCs w:val="22"/>
        </w:rPr>
        <w:t xml:space="preserve">0128  </w:t>
      </w:r>
      <w:r>
        <w:rPr>
          <w:rFonts w:ascii="Arial" w:cs="Arial" w:eastAsia="Arial" w:hAnsi="Arial"/>
          <w:sz w:val="22"/>
          <w:szCs w:val="22"/>
        </w:rPr>
        <w:t xml:space="preserve">SD label integrity shall be maintained through annual verification spot checks and third-party audits of 10% of labelled projects.</w:t>
      </w:r>
    </w:p>
    <w:p>
      <w:pPr>
        <w:spacing w:after="120"/>
      </w:pPr>
      <w:r>
        <w:rPr>
          <w:rFonts w:ascii="Arial" w:cs="Arial" w:eastAsia="Arial" w:hAnsi="Arial"/>
          <w:b/>
          <w:bCs/>
          <w:color w:val="1B4F72"/>
          <w:sz w:val="22"/>
          <w:szCs w:val="22"/>
        </w:rPr>
        <w:t xml:space="preserve">0129  </w:t>
      </w:r>
      <w:r>
        <w:rPr>
          <w:rFonts w:ascii="Arial" w:cs="Arial" w:eastAsia="Arial" w:hAnsi="Arial"/>
          <w:sz w:val="22"/>
          <w:szCs w:val="22"/>
        </w:rPr>
        <w:t xml:space="preserve">Projects losing SD label qualification due to failed verification shall have remediation period of up to 12 months to address deficiencies.</w:t>
      </w:r>
    </w:p>
    <w:p>
      <w:pPr>
        <w:spacing w:after="120"/>
      </w:pPr>
      <w:r>
        <w:rPr>
          <w:rFonts w:ascii="Arial" w:cs="Arial" w:eastAsia="Arial" w:hAnsi="Arial"/>
          <w:b/>
          <w:bCs/>
          <w:color w:val="1B4F72"/>
          <w:sz w:val="22"/>
          <w:szCs w:val="22"/>
        </w:rPr>
        <w:t xml:space="preserve">0130  </w:t>
      </w:r>
      <w:r>
        <w:rPr>
          <w:rFonts w:ascii="Arial" w:cs="Arial" w:eastAsia="Arial" w:hAnsi="Arial"/>
          <w:sz w:val="22"/>
          <w:szCs w:val="22"/>
        </w:rPr>
        <w:t xml:space="preserve">MCC shall publish annual reports detailing SD contributions by project and SDG, enabling impact communication to stakeholders and general public.</w:t>
      </w:r>
    </w:p>
    <w:p>
      <w:pPr>
        <w:spacing w:after="120"/>
      </w:pPr>
      <w:r>
        <w:rPr>
          <w:rFonts w:ascii="Arial" w:cs="Arial" w:eastAsia="Arial" w:hAnsi="Arial"/>
          <w:b/>
          <w:bCs/>
          <w:color w:val="1B4F72"/>
          <w:sz w:val="22"/>
          <w:szCs w:val="22"/>
        </w:rPr>
        <w:t xml:space="preserve">0131  </w:t>
      </w:r>
      <w:r>
        <w:rPr>
          <w:rFonts w:ascii="Arial" w:cs="Arial" w:eastAsia="Arial" w:hAnsi="Arial"/>
          <w:sz w:val="22"/>
          <w:szCs w:val="22"/>
        </w:rPr>
        <w:t xml:space="preserve">SD label criteria shall be reviewed annually for consistency with evolving international standards and stakeholder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SD Label</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Qualification Criteria</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Market Recognition</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Requirements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 SD Verified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Average SD score ≥3.0 across all identified indicators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High</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Annual monitoring and verification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 SD Gold</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Average SD score ≥4.0 on minimum 3 separate SDGs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Premium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Enhanced monitoring, beneficiary verification, sustainability assessment</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 Label</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Average SD score &lt;3.0 or incomplete assessment</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Standard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Carbon-only credits</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METHODOLOGY-SPECIFIC SD REQUIREMENTS</w:t>
      </w:r>
    </w:p>
    <w:p>
      <w:pPr>
        <w:spacing w:after="120"/>
      </w:pPr>
      <w:r>
        <w:rPr>
          <w:rFonts w:ascii="Arial" w:cs="Arial" w:eastAsia="Arial" w:hAnsi="Arial"/>
          <w:b/>
          <w:bCs/>
          <w:color w:val="1B4F72"/>
          <w:sz w:val="22"/>
          <w:szCs w:val="22"/>
        </w:rPr>
        <w:t xml:space="preserve">0132  </w:t>
      </w:r>
      <w:r>
        <w:rPr>
          <w:rFonts w:ascii="Arial" w:cs="Arial" w:eastAsia="Arial" w:hAnsi="Arial"/>
          <w:sz w:val="22"/>
          <w:szCs w:val="22"/>
        </w:rPr>
        <w:t xml:space="preserve">Each MCC methodology family shall have defined primary SDGs and required SD indicators reflecting the activity type and beneficiary population.</w:t>
      </w:r>
    </w:p>
    <w:p>
      <w:pPr>
        <w:spacing w:after="120"/>
      </w:pPr>
      <w:r>
        <w:rPr>
          <w:rFonts w:ascii="Arial" w:cs="Arial" w:eastAsia="Arial" w:hAnsi="Arial"/>
          <w:b/>
          <w:bCs/>
          <w:color w:val="1B4F72"/>
          <w:sz w:val="22"/>
          <w:szCs w:val="22"/>
        </w:rPr>
        <w:t xml:space="preserve">0133  </w:t>
      </w:r>
      <w:r>
        <w:rPr>
          <w:rFonts w:ascii="Arial" w:cs="Arial" w:eastAsia="Arial" w:hAnsi="Arial"/>
          <w:sz w:val="22"/>
          <w:szCs w:val="22"/>
        </w:rPr>
        <w:t xml:space="preserve">Methodology-specific SD requirements shall be documented in individual methodology documents and integrated into project design documentation.</w:t>
      </w:r>
    </w:p>
    <w:p>
      <w:pPr>
        <w:spacing w:after="120"/>
      </w:pPr>
      <w:r>
        <w:rPr>
          <w:rFonts w:ascii="Arial" w:cs="Arial" w:eastAsia="Arial" w:hAnsi="Arial"/>
          <w:b/>
          <w:bCs/>
          <w:color w:val="1B4F72"/>
          <w:sz w:val="22"/>
          <w:szCs w:val="22"/>
        </w:rPr>
        <w:t xml:space="preserve">0134  </w:t>
      </w:r>
      <w:r>
        <w:rPr>
          <w:rFonts w:ascii="Arial" w:cs="Arial" w:eastAsia="Arial" w:hAnsi="Arial"/>
          <w:sz w:val="22"/>
          <w:szCs w:val="22"/>
        </w:rPr>
        <w:t xml:space="preserve">Projects shall not deviate from methodology-specific SD requirements without prior approval from the MCC Methodologies Panel.</w:t>
      </w:r>
    </w:p>
    <w:p>
      <w:pPr>
        <w:spacing w:after="120"/>
      </w:pPr>
      <w:r>
        <w:rPr>
          <w:rFonts w:ascii="Arial" w:cs="Arial" w:eastAsia="Arial" w:hAnsi="Arial"/>
          <w:b/>
          <w:bCs/>
          <w:color w:val="1B4F72"/>
          <w:sz w:val="22"/>
          <w:szCs w:val="22"/>
        </w:rPr>
        <w:t xml:space="preserve">0135  </w:t>
      </w:r>
      <w:r>
        <w:rPr>
          <w:rFonts w:ascii="Arial" w:cs="Arial" w:eastAsia="Arial" w:hAnsi="Arial"/>
          <w:sz w:val="22"/>
          <w:szCs w:val="22"/>
        </w:rPr>
        <w:t xml:space="preserve">MCC-F01 (Blue Carbon Sequestration, Methodologies M001-M004) shall have primary SDGs of 13 (Climate Action) and 14 (Life Below Water).</w:t>
      </w:r>
    </w:p>
    <w:p>
      <w:pPr>
        <w:spacing w:after="120"/>
      </w:pPr>
      <w:r>
        <w:rPr>
          <w:rFonts w:ascii="Arial" w:cs="Arial" w:eastAsia="Arial" w:hAnsi="Arial"/>
          <w:b/>
          <w:bCs/>
          <w:color w:val="1B4F72"/>
          <w:sz w:val="22"/>
          <w:szCs w:val="22"/>
        </w:rPr>
        <w:t xml:space="preserve">0136  </w:t>
      </w:r>
      <w:r>
        <w:rPr>
          <w:rFonts w:ascii="Arial" w:cs="Arial" w:eastAsia="Arial" w:hAnsi="Arial"/>
          <w:sz w:val="22"/>
          <w:szCs w:val="22"/>
        </w:rPr>
        <w:t xml:space="preserve">MCC-F01 projects shall include mandatory indicators: (a) tCO2e sequestered, (b) marine habitat protected/restored (hectares), and (c) water quality improvement (dissolved oxygen, nutrients).</w:t>
      </w:r>
    </w:p>
    <w:p>
      <w:pPr>
        <w:spacing w:after="120"/>
      </w:pPr>
      <w:r>
        <w:rPr>
          <w:rFonts w:ascii="Arial" w:cs="Arial" w:eastAsia="Arial" w:hAnsi="Arial"/>
          <w:b/>
          <w:bCs/>
          <w:color w:val="1B4F72"/>
          <w:sz w:val="22"/>
          <w:szCs w:val="22"/>
        </w:rPr>
        <w:t xml:space="preserve">0137  </w:t>
      </w:r>
      <w:r>
        <w:rPr>
          <w:rFonts w:ascii="Arial" w:cs="Arial" w:eastAsia="Arial" w:hAnsi="Arial"/>
          <w:sz w:val="22"/>
          <w:szCs w:val="22"/>
        </w:rPr>
        <w:t xml:space="preserve">MCC-F01 projects shall select minimum one secondary SDG from: SDG 1 (No Poverty), SDG 6 (Clean Water), or SDG 8 (Decent Work) based on project context.</w:t>
      </w:r>
    </w:p>
    <w:p>
      <w:pPr>
        <w:spacing w:after="120"/>
      </w:pPr>
      <w:r>
        <w:rPr>
          <w:rFonts w:ascii="Arial" w:cs="Arial" w:eastAsia="Arial" w:hAnsi="Arial"/>
          <w:b/>
          <w:bCs/>
          <w:color w:val="1B4F72"/>
          <w:sz w:val="22"/>
          <w:szCs w:val="22"/>
        </w:rPr>
        <w:t xml:space="preserve">0138  </w:t>
      </w:r>
      <w:r>
        <w:rPr>
          <w:rFonts w:ascii="Arial" w:cs="Arial" w:eastAsia="Arial" w:hAnsi="Arial"/>
          <w:sz w:val="22"/>
          <w:szCs w:val="22"/>
        </w:rPr>
        <w:t xml:space="preserve">MCC-F02 (Blue Carbon Protection, Methodologies M005-M006) shall have primary SDGs of 13 (Climate Action), 14 (Life Below Water), and 15 (Life on Land).</w:t>
      </w:r>
    </w:p>
    <w:p>
      <w:pPr>
        <w:spacing w:after="120"/>
      </w:pPr>
      <w:r>
        <w:rPr>
          <w:rFonts w:ascii="Arial" w:cs="Arial" w:eastAsia="Arial" w:hAnsi="Arial"/>
          <w:b/>
          <w:bCs/>
          <w:color w:val="1B4F72"/>
          <w:sz w:val="22"/>
          <w:szCs w:val="22"/>
        </w:rPr>
        <w:t xml:space="preserve">0139  </w:t>
      </w:r>
      <w:r>
        <w:rPr>
          <w:rFonts w:ascii="Arial" w:cs="Arial" w:eastAsia="Arial" w:hAnsi="Arial"/>
          <w:sz w:val="22"/>
          <w:szCs w:val="22"/>
        </w:rPr>
        <w:t xml:space="preserve">MCC-F02 projects shall include mandatory indicators: (a) tCO2e avoided, (b) marine habitat protected (hectares), (c) terrestrial habitat protected (hectares), and (d) biodiversity protection metrics.</w:t>
      </w:r>
    </w:p>
    <w:p>
      <w:pPr>
        <w:spacing w:after="120"/>
      </w:pPr>
      <w:r>
        <w:rPr>
          <w:rFonts w:ascii="Arial" w:cs="Arial" w:eastAsia="Arial" w:hAnsi="Arial"/>
          <w:b/>
          <w:bCs/>
          <w:color w:val="1B4F72"/>
          <w:sz w:val="22"/>
          <w:szCs w:val="22"/>
        </w:rPr>
        <w:t xml:space="preserve">0140  </w:t>
      </w:r>
      <w:r>
        <w:rPr>
          <w:rFonts w:ascii="Arial" w:cs="Arial" w:eastAsia="Arial" w:hAnsi="Arial"/>
          <w:sz w:val="22"/>
          <w:szCs w:val="22"/>
        </w:rPr>
        <w:t xml:space="preserve">MCC-F02 projects shall document ecosystem services benefits including water quality, species protection, and climate resilience.</w:t>
      </w:r>
    </w:p>
    <w:p>
      <w:pPr>
        <w:spacing w:after="120"/>
      </w:pPr>
      <w:r>
        <w:rPr>
          <w:rFonts w:ascii="Arial" w:cs="Arial" w:eastAsia="Arial" w:hAnsi="Arial"/>
          <w:b/>
          <w:bCs/>
          <w:color w:val="1B4F72"/>
          <w:sz w:val="22"/>
          <w:szCs w:val="22"/>
        </w:rPr>
        <w:t xml:space="preserve">0141  </w:t>
      </w:r>
      <w:r>
        <w:rPr>
          <w:rFonts w:ascii="Arial" w:cs="Arial" w:eastAsia="Arial" w:hAnsi="Arial"/>
          <w:sz w:val="22"/>
          <w:szCs w:val="22"/>
        </w:rPr>
        <w:t xml:space="preserve">MCC-F03 (Marine Conservation, Methodology M007) shall have primary SDGs of 14 (Life Below Water) and 15 (Life on Land).</w:t>
      </w:r>
    </w:p>
    <w:p>
      <w:pPr>
        <w:spacing w:after="120"/>
      </w:pPr>
      <w:r>
        <w:rPr>
          <w:rFonts w:ascii="Arial" w:cs="Arial" w:eastAsia="Arial" w:hAnsi="Arial"/>
          <w:b/>
          <w:bCs/>
          <w:color w:val="1B4F72"/>
          <w:sz w:val="22"/>
          <w:szCs w:val="22"/>
        </w:rPr>
        <w:t xml:space="preserve">0142  </w:t>
      </w:r>
      <w:r>
        <w:rPr>
          <w:rFonts w:ascii="Arial" w:cs="Arial" w:eastAsia="Arial" w:hAnsi="Arial"/>
          <w:sz w:val="22"/>
          <w:szCs w:val="22"/>
        </w:rPr>
        <w:t xml:space="preserve">MCC-F03 projects shall include mandatory indicators: (a) marine protected area established/expanded (hectares), (b) species diversity index, and (c) livelihood benefits for coastal communities.</w:t>
      </w:r>
    </w:p>
    <w:p>
      <w:pPr>
        <w:spacing w:after="120"/>
      </w:pPr>
      <w:r>
        <w:rPr>
          <w:rFonts w:ascii="Arial" w:cs="Arial" w:eastAsia="Arial" w:hAnsi="Arial"/>
          <w:b/>
          <w:bCs/>
          <w:color w:val="1B4F72"/>
          <w:sz w:val="22"/>
          <w:szCs w:val="22"/>
        </w:rPr>
        <w:t xml:space="preserve">0143  </w:t>
      </w:r>
      <w:r>
        <w:rPr>
          <w:rFonts w:ascii="Arial" w:cs="Arial" w:eastAsia="Arial" w:hAnsi="Arial"/>
          <w:sz w:val="22"/>
          <w:szCs w:val="22"/>
        </w:rPr>
        <w:t xml:space="preserve">MCC-F03 projects shall demonstrate community engagement and benefit-sharing through quantified indicators of livelihood improvements, food security, or income generation.</w:t>
      </w:r>
    </w:p>
    <w:p>
      <w:pPr>
        <w:spacing w:after="120"/>
      </w:pPr>
      <w:r>
        <w:rPr>
          <w:rFonts w:ascii="Arial" w:cs="Arial" w:eastAsia="Arial" w:hAnsi="Arial"/>
          <w:b/>
          <w:bCs/>
          <w:color w:val="1B4F72"/>
          <w:sz w:val="22"/>
          <w:szCs w:val="22"/>
        </w:rPr>
        <w:t xml:space="preserve">0144  </w:t>
      </w:r>
      <w:r>
        <w:rPr>
          <w:rFonts w:ascii="Arial" w:cs="Arial" w:eastAsia="Arial" w:hAnsi="Arial"/>
          <w:sz w:val="22"/>
          <w:szCs w:val="22"/>
        </w:rPr>
        <w:t xml:space="preserve">MCC-F04 (Marine Pollution Prevention, Methodologies M008-M009) shall have primary SDGs of 14 (Life Below Water) and 6 (Clean Water and Sanitation).</w:t>
      </w:r>
    </w:p>
    <w:p>
      <w:pPr>
        <w:spacing w:after="120"/>
      </w:pPr>
      <w:r>
        <w:rPr>
          <w:rFonts w:ascii="Arial" w:cs="Arial" w:eastAsia="Arial" w:hAnsi="Arial"/>
          <w:b/>
          <w:bCs/>
          <w:color w:val="1B4F72"/>
          <w:sz w:val="22"/>
          <w:szCs w:val="22"/>
        </w:rPr>
        <w:t xml:space="preserve">0145  </w:t>
      </w:r>
      <w:r>
        <w:rPr>
          <w:rFonts w:ascii="Arial" w:cs="Arial" w:eastAsia="Arial" w:hAnsi="Arial"/>
          <w:sz w:val="22"/>
          <w:szCs w:val="22"/>
        </w:rPr>
        <w:t xml:space="preserve">MCC-F04 projects shall include mandatory indicators: (a) tonnes of pollutants removed or prevented, (b) water quality improvement metrics, (c) marine ecosystem health indicators, and (d) community health benefits.</w:t>
      </w:r>
    </w:p>
    <w:p>
      <w:pPr>
        <w:spacing w:after="120"/>
      </w:pPr>
      <w:r>
        <w:rPr>
          <w:rFonts w:ascii="Arial" w:cs="Arial" w:eastAsia="Arial" w:hAnsi="Arial"/>
          <w:b/>
          <w:bCs/>
          <w:color w:val="1B4F72"/>
          <w:sz w:val="22"/>
          <w:szCs w:val="22"/>
        </w:rPr>
        <w:t xml:space="preserve">0146  </w:t>
      </w:r>
      <w:r>
        <w:rPr>
          <w:rFonts w:ascii="Arial" w:cs="Arial" w:eastAsia="Arial" w:hAnsi="Arial"/>
          <w:sz w:val="22"/>
          <w:szCs w:val="22"/>
        </w:rPr>
        <w:t xml:space="preserve">MCC-F04 projects shall quantify avoided health impacts through reduced water-borne disease incidence or air quality improvements.</w:t>
      </w:r>
    </w:p>
    <w:p>
      <w:pPr>
        <w:spacing w:after="120"/>
      </w:pPr>
      <w:r>
        <w:rPr>
          <w:rFonts w:ascii="Arial" w:cs="Arial" w:eastAsia="Arial" w:hAnsi="Arial"/>
          <w:b/>
          <w:bCs/>
          <w:color w:val="1B4F72"/>
          <w:sz w:val="22"/>
          <w:szCs w:val="22"/>
        </w:rPr>
        <w:t xml:space="preserve">0147  </w:t>
      </w:r>
      <w:r>
        <w:rPr>
          <w:rFonts w:ascii="Arial" w:cs="Arial" w:eastAsia="Arial" w:hAnsi="Arial"/>
          <w:sz w:val="22"/>
          <w:szCs w:val="22"/>
        </w:rPr>
        <w:t xml:space="preserve">MCC-F05 (Upstream Waste Prevention, Methodology M010) shall have primary SDGs of 14 (Life Below Water), 6 (Clean Water and Sanitation), and 11 (Sustainable Cities and Communities).</w:t>
      </w:r>
    </w:p>
    <w:p>
      <w:pPr>
        <w:spacing w:after="120"/>
      </w:pPr>
      <w:r>
        <w:rPr>
          <w:rFonts w:ascii="Arial" w:cs="Arial" w:eastAsia="Arial" w:hAnsi="Arial"/>
          <w:b/>
          <w:bCs/>
          <w:color w:val="1B4F72"/>
          <w:sz w:val="22"/>
          <w:szCs w:val="22"/>
        </w:rPr>
        <w:t xml:space="preserve">0148  </w:t>
      </w:r>
      <w:r>
        <w:rPr>
          <w:rFonts w:ascii="Arial" w:cs="Arial" w:eastAsia="Arial" w:hAnsi="Arial"/>
          <w:sz w:val="22"/>
          <w:szCs w:val="22"/>
        </w:rPr>
        <w:t xml:space="preserve">MCC-F05 projects shall include mandatory indicators: (a) tonnes of waste diverted from landfills/marine environments, (b) water pollution prevented (tonnes of contaminants avoided), (c) jobs created in waste management/circular economy, and (d) community health benefits.</w:t>
      </w:r>
    </w:p>
    <w:p>
      <w:pPr>
        <w:spacing w:after="120"/>
      </w:pPr>
      <w:r>
        <w:rPr>
          <w:rFonts w:ascii="Arial" w:cs="Arial" w:eastAsia="Arial" w:hAnsi="Arial"/>
          <w:b/>
          <w:bCs/>
          <w:color w:val="1B4F72"/>
          <w:sz w:val="22"/>
          <w:szCs w:val="22"/>
        </w:rPr>
        <w:t xml:space="preserve">0149  </w:t>
      </w:r>
      <w:r>
        <w:rPr>
          <w:rFonts w:ascii="Arial" w:cs="Arial" w:eastAsia="Arial" w:hAnsi="Arial"/>
          <w:sz w:val="22"/>
          <w:szCs w:val="22"/>
        </w:rPr>
        <w:t xml:space="preserve">MCC-F05 projects shall include secondary SDGs reflecting: employment creation (SDG 8), poverty reduction through employment (SDG 1), and urban sustainability (SDG 11).</w:t>
      </w:r>
    </w:p>
    <w:p>
      <w:pPr>
        <w:spacing w:after="120"/>
      </w:pPr>
      <w:r>
        <w:rPr>
          <w:rFonts w:ascii="Arial" w:cs="Arial" w:eastAsia="Arial" w:hAnsi="Arial"/>
          <w:b/>
          <w:bCs/>
          <w:color w:val="1B4F72"/>
          <w:sz w:val="22"/>
          <w:szCs w:val="22"/>
        </w:rPr>
        <w:t xml:space="preserve">0150  </w:t>
      </w:r>
      <w:r>
        <w:rPr>
          <w:rFonts w:ascii="Arial" w:cs="Arial" w:eastAsia="Arial" w:hAnsi="Arial"/>
          <w:sz w:val="22"/>
          <w:szCs w:val="22"/>
        </w:rPr>
        <w:t xml:space="preserve">All methodology families shall establish minimum SD Floor Scores below which projects shall not receive SD labels.</w:t>
      </w:r>
    </w:p>
    <w:p>
      <w:pPr>
        <w:spacing w:after="120"/>
      </w:pPr>
      <w:r>
        <w:rPr>
          <w:rFonts w:ascii="Arial" w:cs="Arial" w:eastAsia="Arial" w:hAnsi="Arial"/>
          <w:b/>
          <w:bCs/>
          <w:color w:val="1B4F72"/>
          <w:sz w:val="22"/>
          <w:szCs w:val="22"/>
        </w:rPr>
        <w:t xml:space="preserve">0151  </w:t>
      </w:r>
      <w:r>
        <w:rPr>
          <w:rFonts w:ascii="Arial" w:cs="Arial" w:eastAsia="Arial" w:hAnsi="Arial"/>
          <w:sz w:val="22"/>
          <w:szCs w:val="22"/>
        </w:rPr>
        <w:t xml:space="preserve">Methodology-specific SD guidance documents shall be published annually and updated as new scientific understanding of ecosystem co-benefits emerges.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Family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Methodologies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Primary SDGs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Required Indicators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SD Floor Score</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MCC-F01 Blue Carbon Sequestration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M001-M004</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13, 14</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tCO2e sequestered; marine habitat hectares; water quality</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2.5</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MCC-F02 Blue Carbon Protection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M005-M006</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13, 14, 15</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tCO2e avoided; marine habitat hectares; terrestrial habitat hectares; biodiversity</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2.5</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MCC-F03 Marine Conservation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M007</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14, 15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MPA hectares; species diversity index; livelihood benefits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2.0</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MCC-F04 Marine Pollution Prevention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M008-M009</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14, 6</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Pollutants removed; water quality improvement; ecosystem health; community health</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MCC-F05 Upstream Waste Prevention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M010</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14, 6, 11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Waste diverted; water pollution prevented; jobs created; community health</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2.5</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INTEGRATION WITH MCC PLATFORM</w:t>
      </w:r>
    </w:p>
    <w:p>
      <w:pPr>
        <w:spacing w:after="120"/>
      </w:pPr>
      <w:r>
        <w:rPr>
          <w:rFonts w:ascii="Arial" w:cs="Arial" w:eastAsia="Arial" w:hAnsi="Arial"/>
          <w:b/>
          <w:bCs/>
          <w:color w:val="1B4F72"/>
          <w:sz w:val="22"/>
          <w:szCs w:val="22"/>
        </w:rPr>
        <w:t xml:space="preserve">0152  </w:t>
      </w:r>
      <w:r>
        <w:rPr>
          <w:rFonts w:ascii="Arial" w:cs="Arial" w:eastAsia="Arial" w:hAnsi="Arial"/>
          <w:sz w:val="22"/>
          <w:szCs w:val="22"/>
        </w:rPr>
        <w:t xml:space="preserve">The MCC platform shall be enhanced to incorporate SD assessment, monitoring, and reporting as core functionality integrated with carbon credit issuance.</w:t>
      </w:r>
    </w:p>
    <w:p>
      <w:pPr>
        <w:spacing w:after="120"/>
      </w:pPr>
      <w:r>
        <w:rPr>
          <w:rFonts w:ascii="Arial" w:cs="Arial" w:eastAsia="Arial" w:hAnsi="Arial"/>
          <w:b/>
          <w:bCs/>
          <w:color w:val="1B4F72"/>
          <w:sz w:val="22"/>
          <w:szCs w:val="22"/>
        </w:rPr>
        <w:t xml:space="preserve">0153  </w:t>
      </w:r>
      <w:r>
        <w:rPr>
          <w:rFonts w:ascii="Arial" w:cs="Arial" w:eastAsia="Arial" w:hAnsi="Arial"/>
          <w:sz w:val="22"/>
          <w:szCs w:val="22"/>
        </w:rPr>
        <w:t xml:space="preserve">MCC shall establish four new entities within the platform data model: (a) SDContribution, (b) SDIndicator, (c) SDAssessment, and (d) SDScore.</w:t>
      </w:r>
    </w:p>
    <w:p>
      <w:pPr>
        <w:spacing w:after="120"/>
      </w:pPr>
      <w:r>
        <w:rPr>
          <w:rFonts w:ascii="Arial" w:cs="Arial" w:eastAsia="Arial" w:hAnsi="Arial"/>
          <w:b/>
          <w:bCs/>
          <w:color w:val="1B4F72"/>
          <w:sz w:val="22"/>
          <w:szCs w:val="22"/>
        </w:rPr>
        <w:t xml:space="preserve">0154  </w:t>
      </w:r>
      <w:r>
        <w:rPr>
          <w:rFonts w:ascii="Arial" w:cs="Arial" w:eastAsia="Arial" w:hAnsi="Arial"/>
          <w:sz w:val="22"/>
          <w:szCs w:val="22"/>
        </w:rPr>
        <w:t xml:space="preserve">The SDContribution entity shall document which SDGs a project contributes to, with links to project identification and methodology family.</w:t>
      </w:r>
    </w:p>
    <w:p>
      <w:pPr>
        <w:spacing w:after="120"/>
      </w:pPr>
      <w:r>
        <w:rPr>
          <w:rFonts w:ascii="Arial" w:cs="Arial" w:eastAsia="Arial" w:hAnsi="Arial"/>
          <w:b/>
          <w:bCs/>
          <w:color w:val="1B4F72"/>
          <w:sz w:val="22"/>
          <w:szCs w:val="22"/>
        </w:rPr>
        <w:t xml:space="preserve">0155  </w:t>
      </w:r>
      <w:r>
        <w:rPr>
          <w:rFonts w:ascii="Arial" w:cs="Arial" w:eastAsia="Arial" w:hAnsi="Arial"/>
          <w:sz w:val="22"/>
          <w:szCs w:val="22"/>
        </w:rPr>
        <w:t xml:space="preserve">The SDIndicator entity shall define indicators at project level, including: indicator name, unit, measurement methodology, target value, and baseline value.</w:t>
      </w:r>
    </w:p>
    <w:p>
      <w:pPr>
        <w:spacing w:after="120"/>
      </w:pPr>
      <w:r>
        <w:rPr>
          <w:rFonts w:ascii="Arial" w:cs="Arial" w:eastAsia="Arial" w:hAnsi="Arial"/>
          <w:b/>
          <w:bCs/>
          <w:color w:val="1B4F72"/>
          <w:sz w:val="22"/>
          <w:szCs w:val="22"/>
        </w:rPr>
        <w:t xml:space="preserve">0156  </w:t>
      </w:r>
      <w:r>
        <w:rPr>
          <w:rFonts w:ascii="Arial" w:cs="Arial" w:eastAsia="Arial" w:hAnsi="Arial"/>
          <w:sz w:val="22"/>
          <w:szCs w:val="22"/>
        </w:rPr>
        <w:t xml:space="preserve">The SDAssessment entity shall capture baseline assessment results, ex-ante estimates, and annual monitoring results with timestamps and data quality flags.</w:t>
      </w:r>
    </w:p>
    <w:p>
      <w:pPr>
        <w:spacing w:after="120"/>
      </w:pPr>
      <w:r>
        <w:rPr>
          <w:rFonts w:ascii="Arial" w:cs="Arial" w:eastAsia="Arial" w:hAnsi="Arial"/>
          <w:b/>
          <w:bCs/>
          <w:color w:val="1B4F72"/>
          <w:sz w:val="22"/>
          <w:szCs w:val="22"/>
        </w:rPr>
        <w:t xml:space="preserve">0157  </w:t>
      </w:r>
      <w:r>
        <w:rPr>
          <w:rFonts w:ascii="Arial" w:cs="Arial" w:eastAsia="Arial" w:hAnsi="Arial"/>
          <w:sz w:val="22"/>
          <w:szCs w:val="22"/>
        </w:rPr>
        <w:t xml:space="preserve">The SDScore entity shall record individual indicator scores (1-5) and SDG-level average scores assigned during verification.</w:t>
      </w:r>
    </w:p>
    <w:p>
      <w:pPr>
        <w:spacing w:after="120"/>
      </w:pPr>
      <w:r>
        <w:rPr>
          <w:rFonts w:ascii="Arial" w:cs="Arial" w:eastAsia="Arial" w:hAnsi="Arial"/>
          <w:b/>
          <w:bCs/>
          <w:color w:val="1B4F72"/>
          <w:sz w:val="22"/>
          <w:szCs w:val="22"/>
        </w:rPr>
        <w:t xml:space="preserve">0158  </w:t>
      </w:r>
      <w:r>
        <w:rPr>
          <w:rFonts w:ascii="Arial" w:cs="Arial" w:eastAsia="Arial" w:hAnsi="Arial"/>
          <w:sz w:val="22"/>
          <w:szCs w:val="22"/>
        </w:rPr>
        <w:t xml:space="preserve">SD assessment shall be required at project registration stage, with ex-ante estimates and indicator definitions required before credit issuance.</w:t>
      </w:r>
    </w:p>
    <w:p>
      <w:pPr>
        <w:spacing w:after="120"/>
      </w:pPr>
      <w:r>
        <w:rPr>
          <w:rFonts w:ascii="Arial" w:cs="Arial" w:eastAsia="Arial" w:hAnsi="Arial"/>
          <w:b/>
          <w:bCs/>
          <w:color w:val="1B4F72"/>
          <w:sz w:val="22"/>
          <w:szCs w:val="22"/>
        </w:rPr>
        <w:t xml:space="preserve">0159  </w:t>
      </w:r>
      <w:r>
        <w:rPr>
          <w:rFonts w:ascii="Arial" w:cs="Arial" w:eastAsia="Arial" w:hAnsi="Arial"/>
          <w:sz w:val="22"/>
          <w:szCs w:val="22"/>
        </w:rPr>
        <w:t xml:space="preserve">Projects shall not receive credits unless SD assessment documentation is complete and verified.</w:t>
      </w:r>
    </w:p>
    <w:p>
      <w:pPr>
        <w:spacing w:after="120"/>
      </w:pPr>
      <w:r>
        <w:rPr>
          <w:rFonts w:ascii="Arial" w:cs="Arial" w:eastAsia="Arial" w:hAnsi="Arial"/>
          <w:b/>
          <w:bCs/>
          <w:color w:val="1B4F72"/>
          <w:sz w:val="22"/>
          <w:szCs w:val="22"/>
        </w:rPr>
        <w:t xml:space="preserve">0160  </w:t>
      </w:r>
      <w:r>
        <w:rPr>
          <w:rFonts w:ascii="Arial" w:cs="Arial" w:eastAsia="Arial" w:hAnsi="Arial"/>
          <w:sz w:val="22"/>
          <w:szCs w:val="22"/>
        </w:rPr>
        <w:t xml:space="preserve">SD monitoring data shall be captured annually as part of routine monitoring report submissions.</w:t>
      </w:r>
    </w:p>
    <w:p>
      <w:pPr>
        <w:spacing w:after="120"/>
      </w:pPr>
      <w:r>
        <w:rPr>
          <w:rFonts w:ascii="Arial" w:cs="Arial" w:eastAsia="Arial" w:hAnsi="Arial"/>
          <w:b/>
          <w:bCs/>
          <w:color w:val="1B4F72"/>
          <w:sz w:val="22"/>
          <w:szCs w:val="22"/>
        </w:rPr>
        <w:t xml:space="preserve">0161  </w:t>
      </w:r>
      <w:r>
        <w:rPr>
          <w:rFonts w:ascii="Arial" w:cs="Arial" w:eastAsia="Arial" w:hAnsi="Arial"/>
          <w:sz w:val="22"/>
          <w:szCs w:val="22"/>
        </w:rPr>
        <w:t xml:space="preserve">Annual SD indicator values shall be recorded in the SDAssessment entity with audit trail documenting data source, collection date, and quality assurance confirmation.</w:t>
      </w:r>
    </w:p>
    <w:p>
      <w:pPr>
        <w:spacing w:after="120"/>
      </w:pPr>
      <w:r>
        <w:rPr>
          <w:rFonts w:ascii="Arial" w:cs="Arial" w:eastAsia="Arial" w:hAnsi="Arial"/>
          <w:b/>
          <w:bCs/>
          <w:color w:val="1B4F72"/>
          <w:sz w:val="22"/>
          <w:szCs w:val="22"/>
        </w:rPr>
        <w:t xml:space="preserve">0162  </w:t>
      </w:r>
      <w:r>
        <w:rPr>
          <w:rFonts w:ascii="Arial" w:cs="Arial" w:eastAsia="Arial" w:hAnsi="Arial"/>
          <w:sz w:val="22"/>
          <w:szCs w:val="22"/>
        </w:rPr>
        <w:t xml:space="preserve">SD verification results shall be linked to credit verification results, with both carbon and SD claims verified by the same VVB.</w:t>
      </w:r>
    </w:p>
    <w:p>
      <w:pPr>
        <w:spacing w:after="120"/>
      </w:pPr>
      <w:r>
        <w:rPr>
          <w:rFonts w:ascii="Arial" w:cs="Arial" w:eastAsia="Arial" w:hAnsi="Arial"/>
          <w:b/>
          <w:bCs/>
          <w:color w:val="1B4F72"/>
          <w:sz w:val="22"/>
          <w:szCs w:val="22"/>
        </w:rPr>
        <w:t xml:space="preserve">0163  </w:t>
      </w:r>
      <w:r>
        <w:rPr>
          <w:rFonts w:ascii="Arial" w:cs="Arial" w:eastAsia="Arial" w:hAnsi="Arial"/>
          <w:sz w:val="22"/>
          <w:szCs w:val="22"/>
        </w:rPr>
        <w:t xml:space="preserve">The public registry shall display for each project: (a) identified SDGs, (b) selected indicators with current values, (c) progress toward targets, (d) SD label status (if applicable), and (e) verification status.</w:t>
      </w:r>
    </w:p>
    <w:p>
      <w:pPr>
        <w:spacing w:after="120"/>
      </w:pPr>
      <w:r>
        <w:rPr>
          <w:rFonts w:ascii="Arial" w:cs="Arial" w:eastAsia="Arial" w:hAnsi="Arial"/>
          <w:b/>
          <w:bCs/>
          <w:color w:val="1B4F72"/>
          <w:sz w:val="22"/>
          <w:szCs w:val="22"/>
        </w:rPr>
        <w:t xml:space="preserve">0164  </w:t>
      </w:r>
      <w:r>
        <w:rPr>
          <w:rFonts w:ascii="Arial" w:cs="Arial" w:eastAsia="Arial" w:hAnsi="Arial"/>
          <w:sz w:val="22"/>
          <w:szCs w:val="22"/>
        </w:rPr>
        <w:t xml:space="preserve">API endpoints shall be developed enabling: (a) CRUD operations on SDContribution entities, (b) CRUD operations on SDIndicator definitions, (c) submission and retrieval of SDAssessment data, (d) assignment and retrieval of SDScore results, and (e) query of portfolio-level SD statistics.</w:t>
      </w:r>
    </w:p>
    <w:p>
      <w:pPr>
        <w:spacing w:after="120"/>
      </w:pPr>
      <w:r>
        <w:rPr>
          <w:rFonts w:ascii="Arial" w:cs="Arial" w:eastAsia="Arial" w:hAnsi="Arial"/>
          <w:b/>
          <w:bCs/>
          <w:color w:val="1B4F72"/>
          <w:sz w:val="22"/>
          <w:szCs w:val="22"/>
        </w:rPr>
        <w:t xml:space="preserve">0165  </w:t>
      </w:r>
      <w:r>
        <w:rPr>
          <w:rFonts w:ascii="Arial" w:cs="Arial" w:eastAsia="Arial" w:hAnsi="Arial"/>
          <w:sz w:val="22"/>
          <w:szCs w:val="22"/>
        </w:rPr>
        <w:t xml:space="preserve">API documentation shall be published and maintained detailing authentication, data formats, rate limits, and error handling.</w:t>
      </w:r>
    </w:p>
    <w:p>
      <w:pPr>
        <w:spacing w:after="120"/>
      </w:pPr>
      <w:r>
        <w:rPr>
          <w:rFonts w:ascii="Arial" w:cs="Arial" w:eastAsia="Arial" w:hAnsi="Arial"/>
          <w:b/>
          <w:bCs/>
          <w:color w:val="1B4F72"/>
          <w:sz w:val="22"/>
          <w:szCs w:val="22"/>
        </w:rPr>
        <w:t xml:space="preserve">0166  </w:t>
      </w:r>
      <w:r>
        <w:rPr>
          <w:rFonts w:ascii="Arial" w:cs="Arial" w:eastAsia="Arial" w:hAnsi="Arial"/>
          <w:sz w:val="22"/>
          <w:szCs w:val="22"/>
        </w:rPr>
        <w:t xml:space="preserve">The platform shall generate automated SD monitoring alerts if: (a) projects fail to submit annual monitoring data by deadline, (b) monitoring data quality flags indicate unresolved data issues, (c) annual indicator values fall below predetermined thresholds suggesting implementation problems.</w:t>
      </w:r>
    </w:p>
    <w:p>
      <w:pPr>
        <w:spacing w:after="120"/>
      </w:pPr>
      <w:r>
        <w:rPr>
          <w:rFonts w:ascii="Arial" w:cs="Arial" w:eastAsia="Arial" w:hAnsi="Arial"/>
          <w:b/>
          <w:bCs/>
          <w:color w:val="1B4F72"/>
          <w:sz w:val="22"/>
          <w:szCs w:val="22"/>
        </w:rPr>
        <w:t xml:space="preserve">0167  </w:t>
      </w:r>
      <w:r>
        <w:rPr>
          <w:rFonts w:ascii="Arial" w:cs="Arial" w:eastAsia="Arial" w:hAnsi="Arial"/>
          <w:sz w:val="22"/>
          <w:szCs w:val="22"/>
        </w:rPr>
        <w:t xml:space="preserve">The platform shall support bulk export of SD data for portfolio analysis, impact reporting, and third-party analytics.</w:t>
      </w:r>
    </w:p>
    <w:p>
      <w:pPr>
        <w:spacing w:after="120"/>
      </w:pPr>
      <w:r>
        <w:rPr>
          <w:rFonts w:ascii="Arial" w:cs="Arial" w:eastAsia="Arial" w:hAnsi="Arial"/>
          <w:b/>
          <w:bCs/>
          <w:color w:val="1B4F72"/>
          <w:sz w:val="22"/>
          <w:szCs w:val="22"/>
        </w:rPr>
        <w:t xml:space="preserve">0168  </w:t>
      </w:r>
      <w:r>
        <w:rPr>
          <w:rFonts w:ascii="Arial" w:cs="Arial" w:eastAsia="Arial" w:hAnsi="Arial"/>
          <w:sz w:val="22"/>
          <w:szCs w:val="22"/>
        </w:rPr>
        <w:t xml:space="preserve">Data security measures shall protect sensitive beneficiary and project information through access controls, encryption, and audit logging.</w:t>
      </w:r>
    </w:p>
    <w:p>
      <w:pPr>
        <w:spacing w:after="120"/>
      </w:pPr>
      <w:r>
        <w:rPr>
          <w:rFonts w:ascii="Arial" w:cs="Arial" w:eastAsia="Arial" w:hAnsi="Arial"/>
          <w:b/>
          <w:bCs/>
          <w:color w:val="1B4F72"/>
          <w:sz w:val="22"/>
          <w:szCs w:val="22"/>
        </w:rPr>
        <w:t xml:space="preserve">0169  </w:t>
      </w:r>
      <w:r>
        <w:rPr>
          <w:rFonts w:ascii="Arial" w:cs="Arial" w:eastAsia="Arial" w:hAnsi="Arial"/>
          <w:sz w:val="22"/>
          <w:szCs w:val="22"/>
        </w:rPr>
        <w:t xml:space="preserve">The platform shall archive historical SD assessment data enabling long-term impact tracking and outcome evaluation.</w:t>
      </w:r>
    </w:p>
    <w:p>
      <w:r>
        <w:br w:type="page"/>
      </w:r>
    </w:p>
    <w:p>
      <w:pPr>
        <w:pStyle w:val="Heading1"/>
        <w:spacing w:before="360" w:after="240"/>
      </w:pPr>
      <w:r>
        <w:rPr>
          <w:rFonts w:ascii="Arial" w:cs="Arial" w:eastAsia="Arial" w:hAnsi="Arial"/>
          <w:b/>
          <w:bCs/>
          <w:color w:val="1B4F72"/>
          <w:sz w:val="32"/>
          <w:szCs w:val="32"/>
        </w:rPr>
        <w:t xml:space="preserve">GOVERNANCE AND REVIEW</w:t>
      </w:r>
    </w:p>
    <w:p>
      <w:pPr>
        <w:spacing w:after="120"/>
      </w:pPr>
      <w:r>
        <w:rPr>
          <w:rFonts w:ascii="Arial" w:cs="Arial" w:eastAsia="Arial" w:hAnsi="Arial"/>
          <w:b/>
          <w:bCs/>
          <w:color w:val="1B4F72"/>
          <w:sz w:val="22"/>
          <w:szCs w:val="22"/>
        </w:rPr>
        <w:t xml:space="preserve">0170  </w:t>
      </w:r>
      <w:r>
        <w:rPr>
          <w:rFonts w:ascii="Arial" w:cs="Arial" w:eastAsia="Arial" w:hAnsi="Arial"/>
          <w:sz w:val="22"/>
          <w:szCs w:val="22"/>
        </w:rPr>
        <w:t xml:space="preserve">MCC shall establish a Sustainable Development Expert Panel comprising scientists, development practitioners, SDG experts, and market participants.</w:t>
      </w:r>
    </w:p>
    <w:p>
      <w:pPr>
        <w:spacing w:after="120"/>
      </w:pPr>
      <w:r>
        <w:rPr>
          <w:rFonts w:ascii="Arial" w:cs="Arial" w:eastAsia="Arial" w:hAnsi="Arial"/>
          <w:b/>
          <w:bCs/>
          <w:color w:val="1B4F72"/>
          <w:sz w:val="22"/>
          <w:szCs w:val="22"/>
        </w:rPr>
        <w:t xml:space="preserve">0171  </w:t>
      </w:r>
      <w:r>
        <w:rPr>
          <w:rFonts w:ascii="Arial" w:cs="Arial" w:eastAsia="Arial" w:hAnsi="Arial"/>
          <w:sz w:val="22"/>
          <w:szCs w:val="22"/>
        </w:rPr>
        <w:t xml:space="preserve">The Expert Panel shall review the SD framework annually to ensure continued alignment with international standards and emerging best practices.</w:t>
      </w:r>
    </w:p>
    <w:p>
      <w:pPr>
        <w:spacing w:after="120"/>
      </w:pPr>
      <w:r>
        <w:rPr>
          <w:rFonts w:ascii="Arial" w:cs="Arial" w:eastAsia="Arial" w:hAnsi="Arial"/>
          <w:b/>
          <w:bCs/>
          <w:color w:val="1B4F72"/>
          <w:sz w:val="22"/>
          <w:szCs w:val="22"/>
        </w:rPr>
        <w:t xml:space="preserve">0172  </w:t>
      </w:r>
      <w:r>
        <w:rPr>
          <w:rFonts w:ascii="Arial" w:cs="Arial" w:eastAsia="Arial" w:hAnsi="Arial"/>
          <w:sz w:val="22"/>
          <w:szCs w:val="22"/>
        </w:rPr>
        <w:t xml:space="preserve">Annual reviews shall assess: (a) appropriateness and relevance of selected indicators, (b) effectiveness of assessment methodology, (c) consistency of verification procedures, (d) portfolio-level SD impact, and (e) stakeholder feedback.</w:t>
      </w:r>
    </w:p>
    <w:p>
      <w:pPr>
        <w:spacing w:after="120"/>
      </w:pPr>
      <w:r>
        <w:rPr>
          <w:rFonts w:ascii="Arial" w:cs="Arial" w:eastAsia="Arial" w:hAnsi="Arial"/>
          <w:b/>
          <w:bCs/>
          <w:color w:val="1B4F72"/>
          <w:sz w:val="22"/>
          <w:szCs w:val="22"/>
        </w:rPr>
        <w:t xml:space="preserve">0173  </w:t>
      </w:r>
      <w:r>
        <w:rPr>
          <w:rFonts w:ascii="Arial" w:cs="Arial" w:eastAsia="Arial" w:hAnsi="Arial"/>
          <w:sz w:val="22"/>
          <w:szCs w:val="22"/>
        </w:rPr>
        <w:t xml:space="preserve">SD indicators shall be updated as SDG measurement methodologies evolve, with updated guidance published within 12 months of international standards changes.</w:t>
      </w:r>
    </w:p>
    <w:p>
      <w:pPr>
        <w:spacing w:after="120"/>
      </w:pPr>
      <w:r>
        <w:rPr>
          <w:rFonts w:ascii="Arial" w:cs="Arial" w:eastAsia="Arial" w:hAnsi="Arial"/>
          <w:b/>
          <w:bCs/>
          <w:color w:val="1B4F72"/>
          <w:sz w:val="22"/>
          <w:szCs w:val="22"/>
        </w:rPr>
        <w:t xml:space="preserve">0174  </w:t>
      </w:r>
      <w:r>
        <w:rPr>
          <w:rFonts w:ascii="Arial" w:cs="Arial" w:eastAsia="Arial" w:hAnsi="Arial"/>
          <w:sz w:val="22"/>
          <w:szCs w:val="22"/>
        </w:rPr>
        <w:t xml:space="preserve">New indicators shall be tested in pilot projects before portfolio-wide implementation.</w:t>
      </w:r>
    </w:p>
    <w:p>
      <w:pPr>
        <w:spacing w:after="120"/>
      </w:pPr>
      <w:r>
        <w:rPr>
          <w:rFonts w:ascii="Arial" w:cs="Arial" w:eastAsia="Arial" w:hAnsi="Arial"/>
          <w:b/>
          <w:bCs/>
          <w:color w:val="1B4F72"/>
          <w:sz w:val="22"/>
          <w:szCs w:val="22"/>
        </w:rPr>
        <w:t xml:space="preserve">0175  </w:t>
      </w:r>
      <w:r>
        <w:rPr>
          <w:rFonts w:ascii="Arial" w:cs="Arial" w:eastAsia="Arial" w:hAnsi="Arial"/>
          <w:sz w:val="22"/>
          <w:szCs w:val="22"/>
        </w:rPr>
        <w:t xml:space="preserve">Stakeholder consultation shall be conducted annually through public webinars, written comment periods, and direct engagement with project developers, VVBs, and credit buyers.</w:t>
      </w:r>
    </w:p>
    <w:p>
      <w:pPr>
        <w:spacing w:after="120"/>
      </w:pPr>
      <w:r>
        <w:rPr>
          <w:rFonts w:ascii="Arial" w:cs="Arial" w:eastAsia="Arial" w:hAnsi="Arial"/>
          <w:b/>
          <w:bCs/>
          <w:color w:val="1B4F72"/>
          <w:sz w:val="22"/>
          <w:szCs w:val="22"/>
        </w:rPr>
        <w:t xml:space="preserve">0176  </w:t>
      </w:r>
      <w:r>
        <w:rPr>
          <w:rFonts w:ascii="Arial" w:cs="Arial" w:eastAsia="Arial" w:hAnsi="Arial"/>
          <w:sz w:val="22"/>
          <w:szCs w:val="22"/>
        </w:rPr>
        <w:t xml:space="preserve">A public Sustainable Development Standards Document shall be published annually documenting all SD requirements, guidance, and changes from prior year.</w:t>
      </w:r>
    </w:p>
    <w:p>
      <w:pPr>
        <w:spacing w:after="120"/>
      </w:pPr>
      <w:r>
        <w:rPr>
          <w:rFonts w:ascii="Arial" w:cs="Arial" w:eastAsia="Arial" w:hAnsi="Arial"/>
          <w:b/>
          <w:bCs/>
          <w:color w:val="1B4F72"/>
          <w:sz w:val="22"/>
          <w:szCs w:val="22"/>
        </w:rPr>
        <w:t xml:space="preserve">0177  </w:t>
      </w:r>
      <w:r>
        <w:rPr>
          <w:rFonts w:ascii="Arial" w:cs="Arial" w:eastAsia="Arial" w:hAnsi="Arial"/>
          <w:sz w:val="22"/>
          <w:szCs w:val="22"/>
        </w:rPr>
        <w:t xml:space="preserve">MCC shall conduct periodic (5-year) comprehensive reviews of the SD framework comparing performance against Gold Standard and Verra SD VISta benchmarks.</w:t>
      </w:r>
    </w:p>
    <w:p>
      <w:pPr>
        <w:spacing w:after="120"/>
      </w:pPr>
      <w:r>
        <w:rPr>
          <w:rFonts w:ascii="Arial" w:cs="Arial" w:eastAsia="Arial" w:hAnsi="Arial"/>
          <w:b/>
          <w:bCs/>
          <w:color w:val="1B4F72"/>
          <w:sz w:val="22"/>
          <w:szCs w:val="22"/>
        </w:rPr>
        <w:t xml:space="preserve">0178  </w:t>
      </w:r>
      <w:r>
        <w:rPr>
          <w:rFonts w:ascii="Arial" w:cs="Arial" w:eastAsia="Arial" w:hAnsi="Arial"/>
          <w:sz w:val="22"/>
          <w:szCs w:val="22"/>
        </w:rPr>
        <w:t xml:space="preserve">Review findings shall inform improvements to indicators, assessment methodologies, verification procedures, and labelling criteria.</w:t>
      </w:r>
    </w:p>
    <w:p>
      <w:pPr>
        <w:spacing w:after="120"/>
      </w:pPr>
      <w:r>
        <w:rPr>
          <w:rFonts w:ascii="Arial" w:cs="Arial" w:eastAsia="Arial" w:hAnsi="Arial"/>
          <w:b/>
          <w:bCs/>
          <w:color w:val="1B4F72"/>
          <w:sz w:val="22"/>
          <w:szCs w:val="22"/>
        </w:rPr>
        <w:t xml:space="preserve">0179  </w:t>
      </w:r>
      <w:r>
        <w:rPr>
          <w:rFonts w:ascii="Arial" w:cs="Arial" w:eastAsia="Arial" w:hAnsi="Arial"/>
          <w:sz w:val="22"/>
          <w:szCs w:val="22"/>
        </w:rPr>
        <w:t xml:space="preserve">The Expert Panel shall recommend portfolio-level SD targets and track progress toward portfolio impact goals.</w:t>
      </w:r>
    </w:p>
    <w:p>
      <w:pPr>
        <w:spacing w:after="120"/>
      </w:pPr>
      <w:r>
        <w:rPr>
          <w:rFonts w:ascii="Arial" w:cs="Arial" w:eastAsia="Arial" w:hAnsi="Arial"/>
          <w:b/>
          <w:bCs/>
          <w:color w:val="1B4F72"/>
          <w:sz w:val="22"/>
          <w:szCs w:val="22"/>
        </w:rPr>
        <w:t xml:space="preserve">0180  </w:t>
      </w:r>
      <w:r>
        <w:rPr>
          <w:rFonts w:ascii="Arial" w:cs="Arial" w:eastAsia="Arial" w:hAnsi="Arial"/>
          <w:sz w:val="22"/>
          <w:szCs w:val="22"/>
        </w:rPr>
        <w:t xml:space="preserve">MCC shall publish annual Impact Reports detailing SD contributions across the portfolio, disaggregated by SDG and methodology family, with beneficiary demographic breakdowns.</w:t>
      </w:r>
    </w:p>
    <w:p>
      <w:pPr>
        <w:spacing w:after="120"/>
      </w:pPr>
      <w:r>
        <w:rPr>
          <w:rFonts w:ascii="Arial" w:cs="Arial" w:eastAsia="Arial" w:hAnsi="Arial"/>
          <w:b/>
          <w:bCs/>
          <w:color w:val="1B4F72"/>
          <w:sz w:val="22"/>
          <w:szCs w:val="22"/>
        </w:rPr>
        <w:t xml:space="preserve">0181  </w:t>
      </w:r>
      <w:r>
        <w:rPr>
          <w:rFonts w:ascii="Arial" w:cs="Arial" w:eastAsia="Arial" w:hAnsi="Arial"/>
          <w:sz w:val="22"/>
          <w:szCs w:val="22"/>
        </w:rPr>
        <w:t xml:space="preserve">Third-party evaluations shall be commissioned every three years to assess credibility and effectiveness of the SD framework.</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Marine Conservation Credits |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6" w:space="1"/>
      </w:pBdr>
      <w:jc w:val="right"/>
    </w:pPr>
    <w:r>
      <w:rPr>
        <w:rFonts w:ascii="Arial" w:cs="Arial" w:eastAsia="Arial" w:hAnsi="Arial"/>
        <w:color w:val="2E86C1"/>
        <w:sz w:val="18"/>
        <w:szCs w:val="18"/>
      </w:rPr>
      <w:t xml:space="preserve">MCC Sustainable Development Contribution Framework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1B4F72"/>
      <w:sz w:val="32"/>
      <w:szCs w:val="32"/>
    </w:rPr>
  </w:style>
  <w:style w:type="paragraph" w:styleId="Heading2">
    <w:name w:val="Heading 2"/>
    <w:basedOn w:val="Normal"/>
    <w:next w:val="Normal"/>
    <w:qFormat/>
    <w:pPr>
      <w:spacing w:before="240" w:after="160"/>
      <w:outlineLvl w:val="1"/>
    </w:pPr>
    <w:rPr>
      <w:rFonts w:ascii="Arial" w:cs="Arial" w:eastAsia="Arial" w:hAnsi="Arial"/>
      <w:b/>
      <w:bCs/>
      <w:color w:val="2E86C1"/>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2026-03-20T15:38:04.111Z</dcterms:created>
  <dcterms:modified xsi:type="dcterms:W3CDTF">2026-03-20T15:38:04.111Z</dcterms:modified>
</cp:coreProperties>
</file>

<file path=docProps/custom.xml><?xml version="1.0" encoding="utf-8"?>
<Properties xmlns="http://schemas.openxmlformats.org/officeDocument/2006/custom-properties" xmlns:vt="http://schemas.openxmlformats.org/officeDocument/2006/docPropsVTypes"/>
</file>