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MARINE CONSERVATION CREDITS</w:t>
      </w:r>
    </w:p>
    <w:p>
      <w:pPr>
        <w:jc w:val="center"/>
      </w:pPr>
      <w:r>
        <w:rPr>
          <w:b/>
          <w:sz w:val="26"/>
        </w:rPr>
        <w:t>MCC-700 Governance and Appeals Version 3.1</w:t>
      </w:r>
    </w:p>
    <w:p>
      <w:pPr>
        <w:jc w:val="center"/>
      </w:pPr>
      <w:r>
        <w:rPr>
          <w:i/>
          <w:sz w:val="22"/>
        </w:rPr>
        <w:t>Governance Instrument — Tier 2</w:t>
      </w:r>
    </w:p>
    <w:p>
      <w:pPr>
        <w:jc w:val="center"/>
      </w:pPr>
      <w:r>
        <w:rPr>
          <w:i/>
          <w:sz w:val="22"/>
        </w:rPr>
        <w:t>Status: DRAFT — For Foundational Review</w:t>
      </w:r>
    </w:p>
    <w:p>
      <w:pPr>
        <w:jc w:val="center"/>
      </w:pPr>
      <w:r>
        <w:rPr>
          <w:sz w:val="22"/>
        </w:rPr>
        <w:t>March 2026</w:t>
      </w:r>
    </w:p>
    <w:p>
      <w:r>
        <w:br w:type="page"/>
      </w:r>
    </w:p>
    <w:p>
      <w:pPr>
        <w:pStyle w:val="Heading1"/>
      </w:pPr>
      <w:r>
        <w:t>TABLE OF CONTENTS</w:t>
      </w:r>
    </w:p>
    <w:p>
      <w:r>
        <w:t>[Placeholder for automated Table of Contents]</w:t>
      </w:r>
    </w:p>
    <w:p>
      <w:r>
        <w:br w:type="page"/>
      </w:r>
    </w:p>
    <w:p>
      <w:pPr>
        <w:pStyle w:val="Heading1"/>
      </w:pPr>
      <w:r>
        <w:t>1.  PURPOSE</w:t>
      </w:r>
    </w:p>
    <w:p>
      <w:r>
        <w:t>1.1  This Governance and Appeals Framework (MCC-700) establishes the governance structure, decision-making authority, oversight mechanisms, and appeals procedures for the Marine Conservation Credits (MCC) Programme.</w:t>
      </w:r>
    </w:p>
    <w:p>
      <w:r>
        <w:t>1.2  This document defines the relationships between governance bodies, their respective authorities, voting procedures, conflict of interest rules, and the mechanisms through which affected parties may challenge Programme decisions.</w:t>
      </w:r>
    </w:p>
    <w:p>
      <w:r>
        <w:t>1.3  This document applies to all governance decisions made under the MCC Programme, including but not limited to: project validation and verification, credit issuance and retirement, methodology approval, body appointments, and disputes.</w:t>
      </w:r>
    </w:p>
    <w:p>
      <w:r>
        <w:t>1.4  This Framework shall be read in conjunction with MCC-001 (Charter and Constitution), MCC-100 (Programme Standard), MCC-200 (Methodology Framework), and all relevant supporting policy documents including MCC-ESS, MCC-SDCF, MCC-HCA, MCC-CA, MCC-BPM, MCC-OPS, and MCC-PILOT.</w:t>
      </w:r>
    </w:p>
    <w:p>
      <w:pPr>
        <w:pStyle w:val="Heading1"/>
      </w:pPr>
      <w:r>
        <w:t>2.  GOVERNANCE PRINCIPLES</w:t>
      </w:r>
    </w:p>
    <w:p>
      <w:r>
        <w:t>2.1  The MCC Programme governance structure shall be guided by the following principles:</w:t>
      </w:r>
    </w:p>
    <w:p>
      <w:pPr>
        <w:pStyle w:val="ListBullet"/>
      </w:pPr>
      <w:r>
        <w:t>Legitimacy: All governance decisions shall be made by bodies with clear constitutional authority and transparent procedures.</w:t>
      </w:r>
    </w:p>
    <w:p>
      <w:pPr>
        <w:pStyle w:val="ListBullet"/>
      </w:pPr>
      <w:r>
        <w:t>Accountability: All governance bodies shall maintain detailed records of decisions, rationales, and voting outcomes, and shall be subject to external audit.</w:t>
      </w:r>
    </w:p>
    <w:p>
      <w:pPr>
        <w:pStyle w:val="ListBullet"/>
      </w:pPr>
      <w:r>
        <w:t>Fairness: All decision-making procedures shall provide equal treatment and due process to all stakeholders.</w:t>
      </w:r>
    </w:p>
    <w:p>
      <w:pPr>
        <w:pStyle w:val="ListBullet"/>
      </w:pPr>
      <w:r>
        <w:t>Transparency: All governance decisions, vote counts, and minutes shall be published in a timely manner.</w:t>
      </w:r>
    </w:p>
    <w:p>
      <w:pPr>
        <w:pStyle w:val="ListBullet"/>
      </w:pPr>
      <w:r>
        <w:t>Expertise: All substantive decision-making shall be informed by technical experts with relevant knowledge.</w:t>
      </w:r>
    </w:p>
    <w:p>
      <w:pPr>
        <w:pStyle w:val="ListBullet"/>
      </w:pPr>
      <w:r>
        <w:t>Independence: Governance bodies shall be independent from undue commercial or political influence.</w:t>
      </w:r>
    </w:p>
    <w:p>
      <w:r>
        <w:t>2.2  Governance authority hierarchy: Decisions shall be made at the lowest competent level. Escalation to higher governance bodies occurs only when (a) the decision authority explicitly requires it, (b) conflicts between bodies arise, or (c) the affected party initiates appeal.</w:t>
      </w:r>
    </w:p>
    <w:p>
      <w:r>
        <w:t>2.3  Precautionary approach: In cases of uncertainty regarding environmental, social, or safeguards impacts, governance bodies shall apply the precautionary principle and request additional evidence or assessment before approval.</w:t>
      </w:r>
    </w:p>
    <w:p>
      <w:pPr>
        <w:pStyle w:val="Heading1"/>
      </w:pPr>
      <w:r>
        <w:t>3.  INSTITUTIONAL ROLE SEPARATION</w:t>
      </w:r>
    </w:p>
    <w:p>
      <w:r>
        <w:t>3.1  The MCC Programme, operated by Marine Conservation Credits Limited, simultaneously performs four distinct institutional roles:</w:t>
      </w:r>
    </w:p>
    <w:p>
      <w:pPr>
        <w:pStyle w:val="Heading3"/>
      </w:pPr>
      <w:r>
        <w:t>3.1.1  Standard-Setting Role</w:t>
      </w:r>
    </w:p>
    <w:p>
      <w:r>
        <w:t>MCC develops, maintains, and revises methodologies (MCC-M001 through MCC-M010), programme rules, and governance procedures. This role defines what activities may be credited and how credit generation shall be calculated.</w:t>
      </w:r>
    </w:p>
    <w:p>
      <w:pPr>
        <w:pStyle w:val="Heading3"/>
      </w:pPr>
      <w:r>
        <w:t>3.1.2  Registry Operations Role</w:t>
      </w:r>
    </w:p>
    <w:p>
      <w:r>
        <w:t>MCC operates the registry infrastructure that stores, tracks, transfers, and retires marine conservation credits. Registry operations include data integrity, security, and auditability.</w:t>
      </w:r>
    </w:p>
    <w:p>
      <w:pPr>
        <w:pStyle w:val="Heading3"/>
      </w:pPr>
      <w:r>
        <w:t>3.1.3  Programme Administration Role</w:t>
      </w:r>
    </w:p>
    <w:p>
      <w:r>
        <w:t>MCC administers the project submission, validation, verification, and credit issuance processes. Programme administration includes project onboarding, VVB coordination, and credit issuance decisions.</w:t>
      </w:r>
    </w:p>
    <w:p>
      <w:pPr>
        <w:pStyle w:val="Heading3"/>
      </w:pPr>
      <w:r>
        <w:t>3.1.4  Design Authority Role</w:t>
      </w:r>
    </w:p>
    <w:p>
      <w:r>
        <w:t>MCC exercises design authority over the Programme structure, governance evolution, and strategic direction of the MCC framework.</w:t>
      </w:r>
    </w:p>
    <w:p>
      <w:r>
        <w:t>3.2  Governance body oversight of each role:</w:t>
      </w:r>
    </w:p>
    <w:p>
      <w:pPr>
        <w:pStyle w:val="ListBullet"/>
      </w:pPr>
      <w:r>
        <w:t>Standard-Setting (3.1.1): Standards Committee shall oversee methodology development, approve new methodologies and framework updates, and ensure consistency with MCC-100.</w:t>
      </w:r>
    </w:p>
    <w:p>
      <w:pPr>
        <w:pStyle w:val="ListBullet"/>
      </w:pPr>
      <w:r>
        <w:t>Registry Operations (3.1.2): Registry Oversight Authority shall oversee registry security, data integrity, audit trails, and compliance with international registry standards.</w:t>
      </w:r>
    </w:p>
    <w:p>
      <w:pPr>
        <w:pStyle w:val="ListBullet"/>
      </w:pPr>
      <w:r>
        <w:t>Programme Administration (3.1.3): Review Authority shall oversee project validation, verification coordination, safeguards compliance, and credit issuance decisions.</w:t>
      </w:r>
    </w:p>
    <w:p>
      <w:pPr>
        <w:pStyle w:val="ListBullet"/>
      </w:pPr>
      <w:r>
        <w:t>Design Authority (3.1.4): Governing Board shall exercise design authority, with Standards Committee input on technical matters.</w:t>
      </w:r>
    </w:p>
    <w:p>
      <w:r>
        <w:t>3.3  Role separation compliance audit: MCC shall conduct annual independent audits of role separation compliance. Audit reports shall be published and filed with the Governing Board. Audits shall verify that decisions in one role are not improperly influenced by interests in another role.</w:t>
      </w:r>
    </w:p>
    <w:p>
      <w:r>
        <w:t>3.4  Conflict of interest safeguards for role separation: Any individual who holds decision-making authority in more than one role shall disclose the potential conflict and recuse themselves from decisions where role conflict would improperly influence judgment.</w:t>
      </w:r>
    </w:p>
    <w:p>
      <w:pPr>
        <w:pStyle w:val="Heading1"/>
      </w:pPr>
      <w:r>
        <w:t>4.  GOVERNANCE BODIES</w:t>
      </w:r>
    </w:p>
    <w:p>
      <w:pPr>
        <w:pStyle w:val="Heading2"/>
      </w:pPr>
      <w:r>
        <w:t>4.1  Governing Board</w:t>
      </w:r>
    </w:p>
    <w:p>
      <w:r>
        <w:t>4.1.1  The Governing Board is the apex governance body with authority over programme strategy, governance structure, body appointments, and significant policy decisions.</w:t>
      </w:r>
    </w:p>
    <w:p>
      <w:r>
        <w:t>4.1.2  Composition: The Governing Board shall consist of eleven (11) members appointed as follows:</w:t>
      </w:r>
    </w:p>
    <w:p>
      <w:pPr>
        <w:pStyle w:val="ListBullet"/>
      </w:pPr>
      <w:r>
        <w:t>Three (3) representatives from marine conservation organisations</w:t>
      </w:r>
    </w:p>
    <w:p>
      <w:pPr>
        <w:pStyle w:val="ListBullet"/>
      </w:pPr>
      <w:r>
        <w:t>Two (2) representatives from project developers</w:t>
      </w:r>
    </w:p>
    <w:p>
      <w:pPr>
        <w:pStyle w:val="ListBullet"/>
      </w:pPr>
      <w:r>
        <w:t>Two (2) representatives from host country governments</w:t>
      </w:r>
    </w:p>
    <w:p>
      <w:pPr>
        <w:pStyle w:val="ListBullet"/>
      </w:pPr>
      <w:r>
        <w:t>One (1) representative from credit buyers</w:t>
      </w:r>
    </w:p>
    <w:p>
      <w:pPr>
        <w:pStyle w:val="ListBullet"/>
      </w:pPr>
      <w:r>
        <w:t>One (1) representative from indigenous peoples and local communities</w:t>
      </w:r>
    </w:p>
    <w:p>
      <w:pPr>
        <w:pStyle w:val="ListBullet"/>
      </w:pPr>
      <w:r>
        <w:t>Two (2) independent experts with governance or environmental expertise</w:t>
      </w:r>
    </w:p>
    <w:p>
      <w:r>
        <w:t>4.1.3  Term of service: Governing Board members shall serve three-year terms and may be reappointed for one additional term. The Board shall maintain staggered appointment cycles to ensure continuity.</w:t>
      </w:r>
    </w:p>
    <w:p>
      <w:r>
        <w:t>4.1.4  Voting and decision-making:</w:t>
      </w:r>
    </w:p>
    <w:p>
      <w:pPr>
        <w:pStyle w:val="ListBullet"/>
      </w:pPr>
      <w:r>
        <w:t>Routine decisions: Majority of quorum (50% + 1 of members present)</w:t>
      </w:r>
    </w:p>
    <w:p>
      <w:pPr>
        <w:pStyle w:val="ListBullet"/>
      </w:pPr>
      <w:r>
        <w:t>Significant policy decisions: Supermajority of 75% of members present</w:t>
      </w:r>
    </w:p>
    <w:p>
      <w:pPr>
        <w:pStyle w:val="ListBullet"/>
      </w:pPr>
      <w:r>
        <w:t>Constitutional amendments: Unanimous consent of all members</w:t>
      </w:r>
    </w:p>
    <w:p>
      <w:pPr>
        <w:pStyle w:val="Heading2"/>
      </w:pPr>
      <w:r>
        <w:t>4.2  Standards Committee</w:t>
      </w:r>
    </w:p>
    <w:p>
      <w:r>
        <w:t>4.2.1  The Standards Committee is responsible for development, review, and approval of all technical standards, methodologies, and programme rules.</w:t>
      </w:r>
    </w:p>
    <w:p>
      <w:r>
        <w:t>4.2.2  Composition: The Standards Committee shall consist of nine (9) members appointed as follows:</w:t>
      </w:r>
    </w:p>
    <w:p>
      <w:pPr>
        <w:pStyle w:val="ListBullet"/>
      </w:pPr>
      <w:r>
        <w:t>Four (4) marine science experts (ecology, oceanography, carbon cycling)</w:t>
      </w:r>
    </w:p>
    <w:p>
      <w:pPr>
        <w:pStyle w:val="ListBullet"/>
      </w:pPr>
      <w:r>
        <w:t>Two (2) project methodology specialists</w:t>
      </w:r>
    </w:p>
    <w:p>
      <w:pPr>
        <w:pStyle w:val="ListBullet"/>
      </w:pPr>
      <w:r>
        <w:t>One (1) representative from host country governments</w:t>
      </w:r>
    </w:p>
    <w:p>
      <w:pPr>
        <w:pStyle w:val="ListBullet"/>
      </w:pPr>
      <w:r>
        <w:t>Two (2) representatives from civil society and indigenous organisations</w:t>
      </w:r>
    </w:p>
    <w:p>
      <w:r>
        <w:t>4.2.3  Term of service: Standards Committee members shall serve three-year terms and may be reappointed for one additional term.</w:t>
      </w:r>
    </w:p>
    <w:p>
      <w:r>
        <w:t>4.2.4  Voting: All Standards Committee decisions shall require a simple majority of members present (50% + 1).</w:t>
      </w:r>
    </w:p>
    <w:p>
      <w:pPr>
        <w:pStyle w:val="Heading2"/>
      </w:pPr>
      <w:r>
        <w:t>4.3  Registry Oversight Authority</w:t>
      </w:r>
    </w:p>
    <w:p>
      <w:r>
        <w:t>4.3.1  The Registry Oversight Authority is responsible for oversight of registry operations, data integrity, security, and compliance with international registry standards.</w:t>
      </w:r>
    </w:p>
    <w:p>
      <w:r>
        <w:t>4.3.2  Composition: The Registry Oversight Authority shall consist of five (5) members appointed as follows:</w:t>
      </w:r>
    </w:p>
    <w:p>
      <w:pPr>
        <w:pStyle w:val="ListBullet"/>
      </w:pPr>
      <w:r>
        <w:t>Two (2) registry and IT security specialists</w:t>
      </w:r>
    </w:p>
    <w:p>
      <w:pPr>
        <w:pStyle w:val="ListBullet"/>
      </w:pPr>
      <w:r>
        <w:t>One (1) independent auditor</w:t>
      </w:r>
    </w:p>
    <w:p>
      <w:pPr>
        <w:pStyle w:val="ListBullet"/>
      </w:pPr>
      <w:r>
        <w:t>One (1) representative from host country governments</w:t>
      </w:r>
    </w:p>
    <w:p>
      <w:pPr>
        <w:pStyle w:val="ListBullet"/>
      </w:pPr>
      <w:r>
        <w:t>One (1) representative from credit market participants</w:t>
      </w:r>
    </w:p>
    <w:p>
      <w:r>
        <w:t>4.3.3  Registry Oversight Authority shall meet quarterly and shall review registry audit reports, IT security assessments, and backup/disaster recovery procedures.</w:t>
      </w:r>
    </w:p>
    <w:p>
      <w:pPr>
        <w:pStyle w:val="Heading2"/>
      </w:pPr>
      <w:r>
        <w:t>4.4  Review and Appeals Authority</w:t>
      </w:r>
    </w:p>
    <w:p>
      <w:r>
        <w:t>4.4.1  The Review and Appeals Authority is responsible for (a) reviewing and deciding on project validation and verification outcomes, (b) making credit issuance decisions, (c) administering the appeals process, and (d) enforcing programme compliance.</w:t>
      </w:r>
    </w:p>
    <w:p>
      <w:r>
        <w:t>4.4.2  Composition: The Review and Appeals Authority shall consist of seven (7) members appointed as follows:</w:t>
      </w:r>
    </w:p>
    <w:p>
      <w:pPr>
        <w:pStyle w:val="ListBullet"/>
      </w:pPr>
      <w:r>
        <w:t>Two (2) independent legal/regulatory experts</w:t>
      </w:r>
    </w:p>
    <w:p>
      <w:pPr>
        <w:pStyle w:val="ListBullet"/>
      </w:pPr>
      <w:r>
        <w:t>Two (2) environmental/marine science specialists</w:t>
      </w:r>
    </w:p>
    <w:p>
      <w:pPr>
        <w:pStyle w:val="ListBullet"/>
      </w:pPr>
      <w:r>
        <w:t>One (1) representative from host country governments</w:t>
      </w:r>
    </w:p>
    <w:p>
      <w:pPr>
        <w:pStyle w:val="ListBullet"/>
      </w:pPr>
      <w:r>
        <w:t>One (1) representative from indigenous peoples and local communities</w:t>
      </w:r>
    </w:p>
    <w:p>
      <w:pPr>
        <w:pStyle w:val="ListBullet"/>
      </w:pPr>
      <w:r>
        <w:t>One (1) independent mediator or conflict resolution specialist</w:t>
      </w:r>
    </w:p>
    <w:p>
      <w:r>
        <w:t>4.4.3  The Review Authority shall be supported by the Compliance Function, which monitors ongoing project compliance and safeguards performance.</w:t>
      </w:r>
    </w:p>
    <w:p>
      <w:pPr>
        <w:pStyle w:val="Heading2"/>
      </w:pPr>
      <w:r>
        <w:t>4.5  Methodology Working Groups</w:t>
      </w:r>
    </w:p>
    <w:p>
      <w:r>
        <w:t>4.5.1  Methodology Working Groups shall be established for each approved methodology (MCC-M001 through MCC-M010). Each Working Group shall review application of the methodology, recommend updates, and provide technical guidance.</w:t>
      </w:r>
    </w:p>
    <w:p>
      <w:r>
        <w:t>4.5.2  Working Group composition shall include methodology authors, active project developers using the methodology, scientific experts, and host country representatives.</w:t>
      </w:r>
    </w:p>
    <w:p>
      <w:r>
        <w:t>4.5.3  Working Groups shall report annually to the Standards Committee with recommendations for methodology improvement.</w:t>
      </w:r>
    </w:p>
    <w:p>
      <w:r>
        <w:br w:type="page"/>
      </w:r>
    </w:p>
    <w:p>
      <w:pPr>
        <w:pStyle w:val="Heading1"/>
      </w:pPr>
      <w:r>
        <w:t>5.  VALIDATION AND VERIFICATION BODY OVERSIGHT</w:t>
      </w:r>
    </w:p>
    <w:p>
      <w:r>
        <w:t>5.1  All validation and verification bodies (VVBs) shall be independent third parties accredited against MCC Programme standards. VVBs shall perform independent assessments of project design, implementation, and credit calculations.</w:t>
      </w:r>
    </w:p>
    <w:p>
      <w:r>
        <w:t>5.2  VVB accreditation requirements: VVBs shall meet the following requirements:</w:t>
      </w:r>
    </w:p>
    <w:p>
      <w:pPr>
        <w:pStyle w:val="ListBullet"/>
      </w:pPr>
      <w:r>
        <w:t>Demonstrate professional liability insurance (minimum USD 2,000,000 per claim and USD 5,000,000 in aggregate, per MCC-400 Article 16; amount aligned by FD-2026-08-24, item D7)</w:t>
      </w:r>
    </w:p>
    <w:p>
      <w:pPr>
        <w:pStyle w:val="ListBullet"/>
      </w:pPr>
      <w:r>
        <w:t>Employ qualified marine science and project assessment specialists</w:t>
      </w:r>
    </w:p>
    <w:p>
      <w:pPr>
        <w:pStyle w:val="ListBullet"/>
      </w:pPr>
      <w:r>
        <w:t>Implement quality assurance procedures (internal review before report submission)</w:t>
      </w:r>
    </w:p>
    <w:p>
      <w:pPr>
        <w:pStyle w:val="ListBullet"/>
      </w:pPr>
      <w:r>
        <w:t>Maintain independence (no financial interest in project outcome)</w:t>
      </w:r>
    </w:p>
    <w:p>
      <w:pPr>
        <w:pStyle w:val="ListBullet"/>
      </w:pPr>
      <w:r>
        <w:t>Comply with all MCC Programme standards and guidance documents</w:t>
      </w:r>
    </w:p>
    <w:p>
      <w:r>
        <w:t>5.3  The Review Authority shall oversee VVB performance through annual audits of randomly selected validation and verification reports, assessment of VVB complaint records, and review of quality issues raised by projects or other stakeholders.</w:t>
      </w:r>
    </w:p>
    <w:p>
      <w:r>
        <w:t>5.4  VVB sanctions: The Review Authority may suspend or revoke VVB accreditation for serious quality failures, repeated non-compliance with standards, or loss of independence.</w:t>
      </w:r>
    </w:p>
    <w:p>
      <w:pPr>
        <w:pStyle w:val="Heading1"/>
      </w:pPr>
      <w:r>
        <w:t>6.  SAFEGUARDS GOVERNANCE</w:t>
      </w:r>
    </w:p>
    <w:p>
      <w:r>
        <w:t>6.1  MCC recognises that marine conservation activities must do no harm to affected communities and ecosystems. Safeguards governance ensures that all projects comply with environmental and social standards defined in MCC-ESS.</w:t>
      </w:r>
    </w:p>
    <w:p>
      <w:pPr>
        <w:pStyle w:val="Heading3"/>
      </w:pPr>
      <w:r>
        <w:t>6.1.1  Safeguards Panel</w:t>
      </w:r>
    </w:p>
    <w:p>
      <w:r>
        <w:t>6.1.1.1  A Safeguards Panel shall be established as an advisory body to the Review Authority. The Safeguards Panel shall review all Category A project safeguards assessments before the Review Authority makes a project registration decision.</w:t>
      </w:r>
    </w:p>
    <w:p>
      <w:r>
        <w:t>6.1.1.2  Composition: The Safeguards Panel shall consist of five to seven (5-7) members with expertise in environmental and social safeguards, including:</w:t>
      </w:r>
    </w:p>
    <w:p>
      <w:pPr>
        <w:pStyle w:val="ListBullet"/>
      </w:pPr>
      <w:r>
        <w:t>Two (2) environmental safeguards specialists</w:t>
      </w:r>
    </w:p>
    <w:p>
      <w:pPr>
        <w:pStyle w:val="ListBullet"/>
      </w:pPr>
      <w:r>
        <w:t>One (1) social and human rights specialist</w:t>
      </w:r>
    </w:p>
    <w:p>
      <w:pPr>
        <w:pStyle w:val="ListBullet"/>
      </w:pPr>
      <w:r>
        <w:t>One (1) indigenous peoples and local communities representative</w:t>
      </w:r>
    </w:p>
    <w:p>
      <w:pPr>
        <w:pStyle w:val="ListBullet"/>
      </w:pPr>
      <w:r>
        <w:t>One (1) member with grievance mechanism expertise</w:t>
      </w:r>
    </w:p>
    <w:p>
      <w:pPr>
        <w:pStyle w:val="ListBullet"/>
      </w:pPr>
      <w:r>
        <w:t>If needed, up to two (2) additional specialists in specific safeguards areas</w:t>
      </w:r>
    </w:p>
    <w:p>
      <w:r>
        <w:t>6.1.1.3  Term of service: Safeguards Panel members shall serve three-year terms and may be reappointed for one additional term.</w:t>
      </w:r>
    </w:p>
    <w:p>
      <w:pPr>
        <w:pStyle w:val="Heading3"/>
      </w:pPr>
      <w:r>
        <w:t>6.1.2  Safeguards Clearance Gate</w:t>
      </w:r>
    </w:p>
    <w:p>
      <w:r>
        <w:t>6.1.2.1  Safeguards clearance is a mandatory gate in the project registration and credit issuance processes. No project shall be registered or issued credits without explicit safeguards clearance.</w:t>
      </w:r>
    </w:p>
    <w:p>
      <w:r>
        <w:t>6.1.2.2  Category A projects (projects with potential significant adverse environmental or social impacts, as defined in MCC-ESS) require:</w:t>
      </w:r>
    </w:p>
    <w:p>
      <w:pPr>
        <w:pStyle w:val="ListBullet"/>
      </w:pPr>
      <w:r>
        <w:t>A comprehensive environmental and social impact assessment</w:t>
      </w:r>
    </w:p>
    <w:p>
      <w:pPr>
        <w:pStyle w:val="ListBullet"/>
      </w:pPr>
      <w:r>
        <w:t>VVB safeguards verification</w:t>
      </w:r>
    </w:p>
    <w:p>
      <w:pPr>
        <w:pStyle w:val="ListBullet"/>
      </w:pPr>
      <w:r>
        <w:t>Safeguards Panel review and recommendation to Review Authority</w:t>
      </w:r>
    </w:p>
    <w:p>
      <w:pPr>
        <w:pStyle w:val="ListBullet"/>
      </w:pPr>
      <w:r>
        <w:t>Review Authority approval with documented safeguards clearance decision</w:t>
      </w:r>
    </w:p>
    <w:p>
      <w:r>
        <w:t>6.1.2.3  Category B projects (projects with limited adverse impacts) require simplified safeguards assessment, VVB verification, and Review Authority approval without Safeguards Panel review (unless the Review Authority requests Safeguards Panel input).</w:t>
      </w:r>
    </w:p>
    <w:p>
      <w:r>
        <w:t>6.1.2.4  Category C projects (projects with minimal or no adverse impacts) require baseline safeguards compliance verification only.</w:t>
      </w:r>
    </w:p>
    <w:p>
      <w:pPr>
        <w:pStyle w:val="Heading3"/>
      </w:pPr>
      <w:r>
        <w:t>6.1.3  Safeguards Enforcement</w:t>
      </w:r>
    </w:p>
    <w:p>
      <w:r>
        <w:t>6.1.3.1  The Review Authority, upon recommendation of the Compliance Function, may suspend projects for safeguards non-compliance. Suspension occurs when:</w:t>
      </w:r>
    </w:p>
    <w:p>
      <w:pPr>
        <w:pStyle w:val="ListBullet"/>
      </w:pPr>
      <w:r>
        <w:t>Monitoring data shows deterioration in environmental or social conditions</w:t>
      </w:r>
    </w:p>
    <w:p>
      <w:pPr>
        <w:pStyle w:val="ListBullet"/>
      </w:pPr>
      <w:r>
        <w:t>Grievances have been filed and not addressed within required timelines</w:t>
      </w:r>
    </w:p>
    <w:p>
      <w:pPr>
        <w:pStyle w:val="ListBullet"/>
      </w:pPr>
      <w:r>
        <w:t>Communities withdraw free, prior, and informed consent</w:t>
      </w:r>
    </w:p>
    <w:p>
      <w:pPr>
        <w:pStyle w:val="ListBullet"/>
      </w:pPr>
      <w:r>
        <w:t>Critical safeguards violations occur (including human rights abuse, irreversible environmental damage, or fraud)</w:t>
      </w:r>
    </w:p>
    <w:p>
      <w:r>
        <w:t>6.1.3.2  Critical safeguards failures (serious violations including harm to human rights, community displacement, or irreversible ecosystem damage) shall be escalated to the Governing Board for enforcement action, which may include project revocation or credit cancellation.</w:t>
      </w:r>
    </w:p>
    <w:p>
      <w:pPr>
        <w:pStyle w:val="Heading3"/>
      </w:pPr>
      <w:r>
        <w:t>6.1.4  Grievance Escalation</w:t>
      </w:r>
    </w:p>
    <w:p>
      <w:r>
        <w:t>6.1.4.1  The MCC Programme establishes a multi-level grievance escalation process as follows:</w:t>
      </w:r>
    </w:p>
    <w:p>
      <w:pPr>
        <w:pStyle w:val="ListBullet"/>
      </w:pPr>
      <w:r>
        <w:t>Level 1 (Project Level): Grievances filed with project developers, requiring response within 30 days</w:t>
      </w:r>
    </w:p>
    <w:p>
      <w:pPr>
        <w:pStyle w:val="ListBullet"/>
      </w:pPr>
      <w:r>
        <w:t>Level 2 (Programme Level): Unresolved grievances escalated to the Compliance Function, which investigates within 60 days</w:t>
      </w:r>
    </w:p>
    <w:p>
      <w:pPr>
        <w:pStyle w:val="ListBullet"/>
      </w:pPr>
      <w:r>
        <w:t>Level 3 (Governing Board): Critical grievances or disputes escalated to the Governing Board</w:t>
      </w:r>
    </w:p>
    <w:p>
      <w:pPr>
        <w:pStyle w:val="ListBullet"/>
      </w:pPr>
      <w:r>
        <w:t>Level 4 (Independent Dispute Resolution): Unresolved grievances may be referred to independent dispute resolution, as detailed in Section 15 (Appeals Procedure)</w:t>
      </w:r>
    </w:p>
    <w:p>
      <w:r>
        <w:t>6.2  All safeguards governance decisions and procedures shall be implemented in accordance with MCC-ESS (Environmental and Social Safeguards Policy).</w:t>
      </w:r>
    </w:p>
    <w:p>
      <w:pPr>
        <w:pStyle w:val="Heading1"/>
      </w:pPr>
      <w:r>
        <w:t>7.  SUSTAINABLE DEVELOPMENT GOVERNANCE</w:t>
      </w:r>
    </w:p>
    <w:p>
      <w:r>
        <w:t>7.1  The MCC Programme shall certify the Sustainable Development (SD) contributions of projects through a structured assessment and labelling process, as defined in MCC-SDCF (Sustainable Development Contribution Framework).</w:t>
      </w:r>
    </w:p>
    <w:p>
      <w:pPr>
        <w:pStyle w:val="Heading3"/>
      </w:pPr>
      <w:r>
        <w:t>7.1.1  Sustainable Development Expert Panel</w:t>
      </w:r>
    </w:p>
    <w:p>
      <w:r>
        <w:t>7.1.1.1  A Sustainable Development Expert Panel shall be established as an advisory body to the Review Authority. The SD Expert Panel shall review and certify SD label assignments, review the SD framework annually, and recommend indicator updates.</w:t>
      </w:r>
    </w:p>
    <w:p>
      <w:r>
        <w:t>7.1.1.2  Composition: The SD Expert Panel shall consist of five to nine (5-9) members, including:</w:t>
      </w:r>
    </w:p>
    <w:p>
      <w:pPr>
        <w:pStyle w:val="ListBullet"/>
      </w:pPr>
      <w:r>
        <w:t>Two (2) marine scientists (ecosystem impacts, biodiversity)</w:t>
      </w:r>
    </w:p>
    <w:p>
      <w:pPr>
        <w:pStyle w:val="ListBullet"/>
      </w:pPr>
      <w:r>
        <w:t>Two (2) development practitioners (local livelihoods, community benefits)</w:t>
      </w:r>
    </w:p>
    <w:p>
      <w:pPr>
        <w:pStyle w:val="ListBullet"/>
      </w:pPr>
      <w:r>
        <w:t>One (1) SDG expert (aligning projects with Sustainable Development Goals)</w:t>
      </w:r>
    </w:p>
    <w:p>
      <w:pPr>
        <w:pStyle w:val="ListBullet"/>
      </w:pPr>
      <w:r>
        <w:t>One (1) representative from host country governments</w:t>
      </w:r>
    </w:p>
    <w:p>
      <w:pPr>
        <w:pStyle w:val="ListBullet"/>
      </w:pPr>
      <w:r>
        <w:t>One (1) representative from credit market participants</w:t>
      </w:r>
    </w:p>
    <w:p>
      <w:pPr>
        <w:pStyle w:val="ListBullet"/>
      </w:pPr>
      <w:r>
        <w:t>Up to two (2) additional specialists as needed (e.g., gender, indigenous rights)</w:t>
      </w:r>
    </w:p>
    <w:p>
      <w:r>
        <w:t>7.1.1.3  Term of service: SD Expert Panel members shall serve three-year terms and may be reappointed for one additional term.</w:t>
      </w:r>
    </w:p>
    <w:p>
      <w:pPr>
        <w:pStyle w:val="Heading3"/>
      </w:pPr>
      <w:r>
        <w:t>7.1.2  Sustainable Development Label Certification</w:t>
      </w:r>
    </w:p>
    <w:p>
      <w:r>
        <w:t>7.1.2.1  VVBs shall assign SD scores (1-5 scale, as defined in MCC-SDCF) to projects during the verification process. The SD score reflects estimated sustainable development contribution relative to baseline conditions.</w:t>
      </w:r>
    </w:p>
    <w:p>
      <w:r>
        <w:t>7.1.2.2  SD labels (MCC SD Verified, MCC SD Gold) are certified by the SD Expert Panel upon receipt of VVB score, supporting documentation, and independent verification. The SD Expert Panel shall approve or recommend revision of the score within 20 business days.</w:t>
      </w:r>
    </w:p>
    <w:p>
      <w:r>
        <w:t>7.1.2.3  SD label disputes: If a project developer disagrees with the SD Expert Panel determination, the dispute shall be heard by the Review Authority with a recommendation from the SD Expert Panel. The Review Authority decision is final.</w:t>
      </w:r>
    </w:p>
    <w:p>
      <w:pPr>
        <w:pStyle w:val="Heading3"/>
      </w:pPr>
      <w:r>
        <w:t>7.1.3  Sustainable Development Verification Oversight</w:t>
      </w:r>
    </w:p>
    <w:p>
      <w:r>
        <w:t>7.1.3.1  SD verification is integrated into the standard VVB verification process. All VVBs must be trained and accredited in SD assessment methodologies.</w:t>
      </w:r>
    </w:p>
    <w:p>
      <w:r>
        <w:t>7.1.3.2  The SD Expert Panel shall conduct annual reviews of SD framework effectiveness and recommend indicator updates to the Standards Committee.</w:t>
      </w:r>
    </w:p>
    <w:p>
      <w:r>
        <w:t>7.2  All sustainable development governance decisions and procedures shall be implemented in accordance with MCC-SDCF (Sustainable Development Contribution Framework).</w:t>
      </w:r>
    </w:p>
    <w:p>
      <w:pPr>
        <w:pStyle w:val="Heading1"/>
      </w:pPr>
      <w:r>
        <w:t>8.  HOST COUNTRY AND ARTICLE 6 GOVERNANCE</w:t>
      </w:r>
    </w:p>
    <w:p>
      <w:r>
        <w:t>8.1  The MCC Programme recognises that projects operate within national jurisdictions and may interact with international climate finance mechanisms (e.g., Article 6 of the Paris Agreement). Host Country Authorisation and Corresponding Adjustment procedures ensure alignment with national policies and international commitments.</w:t>
      </w:r>
    </w:p>
    <w:p>
      <w:pPr>
        <w:pStyle w:val="Heading3"/>
      </w:pPr>
      <w:r>
        <w:t>8.1.1  Host Country Authorisation Verification</w:t>
      </w:r>
    </w:p>
    <w:p>
      <w:r>
        <w:t>8.1.1.1  All projects shall obtain a Letter of Authority (LoA) from the host country government (or delegated authority) confirming that the project is (a) permitted under national law, (b) aligned with national climate and conservation policies, and (c) approved by the relevant decision-making body.</w:t>
      </w:r>
    </w:p>
    <w:p>
      <w:r>
        <w:t>8.1.1.2  Host Country Authorisation verification is a mandatory gate in project registration. No project shall be registered without verified LoA.</w:t>
      </w:r>
    </w:p>
    <w:p>
      <w:r>
        <w:t>8.1.1.3  Authority to verify LoA authenticity: The Review Authority, supported by the Executive Operations function (or equivalent programme administration unit), shall verify the authenticity and validity of Letters of Authority. Verification shall include:</w:t>
      </w:r>
    </w:p>
    <w:p>
      <w:pPr>
        <w:pStyle w:val="ListBullet"/>
      </w:pPr>
      <w:r>
        <w:t>Confirmation that the LoA issuer holds authority to issue such letters</w:t>
      </w:r>
    </w:p>
    <w:p>
      <w:pPr>
        <w:pStyle w:val="ListBullet"/>
      </w:pPr>
      <w:r>
        <w:t>Verification of signatures and seals</w:t>
      </w:r>
    </w:p>
    <w:p>
      <w:pPr>
        <w:pStyle w:val="ListBullet"/>
      </w:pPr>
      <w:r>
        <w:t>Confirmation that the LoA is not subject to conditions that have not been met</w:t>
      </w:r>
    </w:p>
    <w:p>
      <w:pPr>
        <w:pStyle w:val="ListBullet"/>
      </w:pPr>
      <w:r>
        <w:t>Confirmation that no suspension or revocation action is pending</w:t>
      </w:r>
    </w:p>
    <w:p>
      <w:r>
        <w:t>8.1.1.4  VVBs shall verify that project implementation aligns with the scope and conditions of the LoA during validation and verification.</w:t>
      </w:r>
    </w:p>
    <w:p>
      <w:pPr>
        <w:pStyle w:val="Heading3"/>
      </w:pPr>
      <w:r>
        <w:t>8.1.2  Corresponding Adjustment Governance</w:t>
      </w:r>
    </w:p>
    <w:p>
      <w:r>
        <w:t>8.1.2.1  Projects may generate marine conservation credits that interact with Article 6 of the Paris Agreement and corresponding adjustment (CA) obligations. The Review Authority shall verify CA status before credit issuance.</w:t>
      </w:r>
    </w:p>
    <w:p>
      <w:r>
        <w:t>8.1.2.2  CA verification process:</w:t>
      </w:r>
    </w:p>
    <w:p>
      <w:pPr>
        <w:pStyle w:val="ListBullet"/>
      </w:pPr>
      <w:r>
        <w:t>Projects shall declare whether they fall under Article 6 scope</w:t>
      </w:r>
    </w:p>
    <w:p>
      <w:pPr>
        <w:pStyle w:val="ListBullet"/>
      </w:pPr>
      <w:r>
        <w:t>Host country shall declare whether CA is required and whether it will be applied</w:t>
      </w:r>
    </w:p>
    <w:p>
      <w:pPr>
        <w:pStyle w:val="ListBullet"/>
      </w:pPr>
      <w:r>
        <w:t>Review Authority shall verify declarations in the registry</w:t>
      </w:r>
    </w:p>
    <w:p>
      <w:pPr>
        <w:pStyle w:val="ListBullet"/>
      </w:pPr>
      <w:r>
        <w:t>Corresponding adjustments shall be recorded in the registry and tracked for compliance</w:t>
      </w:r>
    </w:p>
    <w:p>
      <w:pPr>
        <w:pStyle w:val="Heading3"/>
      </w:pPr>
      <w:r>
        <w:t>8.1.3  Double-Counting Prevention</w:t>
      </w:r>
    </w:p>
    <w:p>
      <w:r>
        <w:t>8.1.3.1  The Registry Oversight Authority shall monitor CA compliance and prevent double-counting. Double-counting occurs when:</w:t>
      </w:r>
    </w:p>
    <w:p>
      <w:pPr>
        <w:pStyle w:val="ListBullet"/>
      </w:pPr>
      <w:r>
        <w:t>A unit is counted toward national climate commitments (UNFCCC reporting) AND credited to a buyer</w:t>
      </w:r>
    </w:p>
    <w:p>
      <w:pPr>
        <w:pStyle w:val="ListBullet"/>
      </w:pPr>
      <w:r>
        <w:t>A unit is issued by multiple programmes simultaneously</w:t>
      </w:r>
    </w:p>
    <w:p>
      <w:pPr>
        <w:pStyle w:val="ListBullet"/>
      </w:pPr>
      <w:r>
        <w:t>A unit is retired/claimed by multiple parties</w:t>
      </w:r>
    </w:p>
    <w:p>
      <w:r>
        <w:t>8.1.3.2  Prevention mechanisms:</w:t>
      </w:r>
    </w:p>
    <w:p>
      <w:pPr>
        <w:pStyle w:val="ListBullet"/>
      </w:pPr>
      <w:r>
        <w:t>Registry records shall flag units subject to CA requirements</w:t>
      </w:r>
    </w:p>
    <w:p>
      <w:pPr>
        <w:pStyle w:val="ListBullet"/>
      </w:pPr>
      <w:r>
        <w:t>Registry shall allow only one owner at a time</w:t>
      </w:r>
    </w:p>
    <w:p>
      <w:pPr>
        <w:pStyle w:val="ListBullet"/>
      </w:pPr>
      <w:r>
        <w:t>Retirement creates permanent, irrevocable record</w:t>
      </w:r>
    </w:p>
    <w:p>
      <w:pPr>
        <w:pStyle w:val="ListBullet"/>
      </w:pPr>
      <w:r>
        <w:t>Registry Oversight Authority conducts quarterly compliance reviews</w:t>
      </w:r>
    </w:p>
    <w:p>
      <w:r>
        <w:t>8.2  All Host Country and Article 6 governance decisions and procedures shall be implemented in accordance with MCC-HCA (Host Country Authorisation Procedure) and MCC-CA (Corresponding Adjustment and Double-Counting Prevention Policy).</w:t>
      </w:r>
    </w:p>
    <w:p>
      <w:pPr>
        <w:pStyle w:val="Heading1"/>
      </w:pPr>
      <w:r>
        <w:t>9.  BUFFER POOL GOVERNANCE</w:t>
      </w:r>
    </w:p>
    <w:p>
      <w:r>
        <w:t>9.1  The MCC Programme maintains a Buffer Pool to account for uncertainty in carbon credit generation, environmental and social risks, and programme compliance. Buffer Pool management ensures Programme integrity and credibility.</w:t>
      </w:r>
    </w:p>
    <w:p>
      <w:r>
        <w:t>9.2  Buffer Pool oversight: The Registry Oversight Authority shall oversee Buffer Pool operations, including deduction, release, reassessment, and cancellation.</w:t>
      </w:r>
    </w:p>
    <w:p>
      <w:r>
        <w:t>9.3  Buffer deduction: A percentage of credits issued from each project shall be automatically deducted to the Buffer Pool. Deduction percentages shall be determined by project risk assessment as defined in MCC-BPM.</w:t>
      </w:r>
    </w:p>
    <w:p>
      <w:r>
        <w:t>9.4  Buffer release: Credits may be released from the Buffer Pool when the underlying risk (e.g., project performance, environmental risks) has been demonstrated to be lower than originally assessed. Buffer release decisions require (a) documented justification by the Review Authority, and (b) approval by the Registry Oversight Authority.</w:t>
      </w:r>
    </w:p>
    <w:p>
      <w:r>
        <w:t>9.5  Buffer reassessment: When VVB audits or monitoring data indicate that original risk assessments were inaccurate, the Registry Oversight Authority may require reassessment of Buffer Pool holdings for that project.</w:t>
      </w:r>
    </w:p>
    <w:p>
      <w:r>
        <w:t>9.6  Buffer cancellation: Credits held in the Buffer Pool may be cancelled upon:</w:t>
      </w:r>
    </w:p>
    <w:p>
      <w:pPr>
        <w:pStyle w:val="ListBullet"/>
      </w:pPr>
      <w:r>
        <w:t>Project revocation or suspension for compliance violations</w:t>
      </w:r>
    </w:p>
    <w:p>
      <w:pPr>
        <w:pStyle w:val="ListBullet"/>
      </w:pPr>
      <w:r>
        <w:t>Documented environmental or social failures</w:t>
      </w:r>
    </w:p>
    <w:p>
      <w:pPr>
        <w:pStyle w:val="ListBullet"/>
      </w:pPr>
      <w:r>
        <w:t>Fraud or misrepresentation by project developers</w:t>
      </w:r>
    </w:p>
    <w:p>
      <w:pPr>
        <w:pStyle w:val="ListBullet"/>
      </w:pPr>
      <w:r>
        <w:t>Programmatic decisions to increase buffer reserves</w:t>
      </w:r>
    </w:p>
    <w:p>
      <w:r>
        <w:t>9.7  Buffer cancellation authority: The Review Authority, upon recommendation of the Compliance Function, has authority to cancel Buffer Pool credits. Cancellation decisions shall be documented and published.</w:t>
      </w:r>
    </w:p>
    <w:p>
      <w:r>
        <w:t>9.8  All Buffer Pool governance decisions and procedures shall be implemented in accordance with MCC-BPM (Buffer Pool Management Policy).</w:t>
      </w:r>
    </w:p>
    <w:p>
      <w:pPr>
        <w:pStyle w:val="Heading1"/>
      </w:pPr>
      <w:r>
        <w:t>10.  OPERATIONAL PHASE GOVERNANCE</w:t>
      </w:r>
    </w:p>
    <w:p>
      <w:r>
        <w:t>10.1  The MCC Programme shall operate in defined phases over a 24-month period, with phase-specific governance arrangements. Phases reflect increasing operational scale and changing governance intensity.</w:t>
      </w:r>
    </w:p>
    <w:p>
      <w:pPr>
        <w:pStyle w:val="Heading3"/>
      </w:pPr>
      <w:r>
        <w:t>10.1.1  Pilot Phase (Month 1-6)</w:t>
      </w:r>
    </w:p>
    <w:p>
      <w:r>
        <w:t>10.1.1.1  During the Pilot Phase, the Programme shall onboard a limited number of pilot projects (as defined in MCC-PILOT). Governance features:</w:t>
      </w:r>
    </w:p>
    <w:p>
      <w:pPr>
        <w:pStyle w:val="ListBullet"/>
      </w:pPr>
      <w:r>
        <w:t>Enhanced Governing Board oversight: Board reviews all project registrations</w:t>
      </w:r>
    </w:p>
    <w:p>
      <w:pPr>
        <w:pStyle w:val="ListBullet"/>
      </w:pPr>
      <w:r>
        <w:t>Monthly reporting: Review Authority provides monthly reports to Governing Board</w:t>
      </w:r>
    </w:p>
    <w:p>
      <w:pPr>
        <w:pStyle w:val="ListBullet"/>
      </w:pPr>
      <w:r>
        <w:t>Expedited VVB feedback: VVBs conduct rapid reviews and report immediately on issues</w:t>
      </w:r>
    </w:p>
    <w:p>
      <w:pPr>
        <w:pStyle w:val="ListBullet"/>
      </w:pPr>
      <w:r>
        <w:t>Adaptive governance: Procedures may be adjusted based on early experience</w:t>
      </w:r>
    </w:p>
    <w:p>
      <w:pPr>
        <w:pStyle w:val="Heading3"/>
      </w:pPr>
      <w:r>
        <w:t>10.1.2  Alpha Phase (Month 7-12)</w:t>
      </w:r>
    </w:p>
    <w:p>
      <w:r>
        <w:t>10.1.2.1  During the Alpha Phase, the Programme scales to additional projects demonstrating proven procedures. Governance features:</w:t>
      </w:r>
    </w:p>
    <w:p>
      <w:pPr>
        <w:pStyle w:val="ListBullet"/>
      </w:pPr>
      <w:r>
        <w:t>Quarterly reporting: Review Authority provides quarterly reports to Governing Board</w:t>
      </w:r>
    </w:p>
    <w:p>
      <w:pPr>
        <w:pStyle w:val="ListBullet"/>
      </w:pPr>
      <w:r>
        <w:t>Reduced Governing Board involvement: Board reviews exceptions and major decisions only</w:t>
      </w:r>
    </w:p>
    <w:p>
      <w:pPr>
        <w:pStyle w:val="ListBullet"/>
      </w:pPr>
      <w:r>
        <w:t>VVB accreditation: Additional VVBs may be accredited based on Pilot Phase results</w:t>
      </w:r>
    </w:p>
    <w:p>
      <w:pPr>
        <w:pStyle w:val="Heading3"/>
      </w:pPr>
      <w:r>
        <w:t>10.1.3  Beta Phase (Month 13-18)</w:t>
      </w:r>
    </w:p>
    <w:p>
      <w:r>
        <w:t>10.1.3.1  During the Beta Phase, standard governance procedures apply with full delegated authority to Review Authority and governance bodies. Governance features:</w:t>
      </w:r>
    </w:p>
    <w:p>
      <w:pPr>
        <w:pStyle w:val="ListBullet"/>
      </w:pPr>
      <w:r>
        <w:t>Standard governance: All decision-making follows normal procedures and authority matrices</w:t>
      </w:r>
    </w:p>
    <w:p>
      <w:pPr>
        <w:pStyle w:val="ListBullet"/>
      </w:pPr>
      <w:r>
        <w:t>Continued monitoring: Monitoring and compliance oversight continue</w:t>
      </w:r>
    </w:p>
    <w:p>
      <w:pPr>
        <w:pStyle w:val="Heading3"/>
      </w:pPr>
      <w:r>
        <w:t>10.1.4  Release Phase (Month 19-24)</w:t>
      </w:r>
    </w:p>
    <w:p>
      <w:r>
        <w:t>10.1.4.1  During the Release Phase, the Programme operates at full scale with mature governance. Governance features:</w:t>
      </w:r>
    </w:p>
    <w:p>
      <w:pPr>
        <w:pStyle w:val="ListBullet"/>
      </w:pPr>
      <w:r>
        <w:t>Full operational governance: All governance bodies function at designed capacity</w:t>
      </w:r>
    </w:p>
    <w:p>
      <w:pPr>
        <w:pStyle w:val="ListBullet"/>
      </w:pPr>
      <w:r>
        <w:t>Market access: Credits may be sold on secondary markets</w:t>
      </w:r>
    </w:p>
    <w:p>
      <w:pPr>
        <w:pStyle w:val="ListBullet"/>
      </w:pPr>
      <w:r>
        <w:t>Continuous improvement: Governance procedures refined based on operational experience</w:t>
      </w:r>
    </w:p>
    <w:p>
      <w:pPr>
        <w:pStyle w:val="Heading3"/>
      </w:pPr>
      <w:r>
        <w:t>10.1.5  Phase Transition</w:t>
      </w:r>
    </w:p>
    <w:p>
      <w:r>
        <w:t>10.1.5.1  Transition to next phase requires:</w:t>
      </w:r>
    </w:p>
    <w:p>
      <w:pPr>
        <w:pStyle w:val="ListBullet"/>
      </w:pPr>
      <w:r>
        <w:t>Documented evidence that preceding phase objectives have been met</w:t>
      </w:r>
    </w:p>
    <w:p>
      <w:pPr>
        <w:pStyle w:val="ListBullet"/>
      </w:pPr>
      <w:r>
        <w:t>Review Authority recommendation for phase transition</w:t>
      </w:r>
    </w:p>
    <w:p>
      <w:pPr>
        <w:pStyle w:val="ListBullet"/>
      </w:pPr>
      <w:r>
        <w:t>Governing Board approval of phase transition</w:t>
      </w:r>
    </w:p>
    <w:p>
      <w:r>
        <w:t>10.2  All operational phase governance decisions and procedures shall be implemented in accordance with MCC-OPS (Operational Roadmap and Track Record Strategy) and MCC-PILOT (Pilot Project Framework).</w:t>
      </w:r>
    </w:p>
    <w:p>
      <w:pPr>
        <w:pStyle w:val="Heading1"/>
      </w:pPr>
      <w:r>
        <w:t>11.  DECISION AUTHORITY</w:t>
      </w:r>
    </w:p>
    <w:p>
      <w:r>
        <w:t>11.1  The following table establishes decision authority for key Programme decisions. All decisions shall be documented with rationale, voting records, and implementation timeline.</w:t>
      </w:r>
      <w:r>
        <w:t xml:space="preserve"> Methodology decisions follow a tiered voting structure: new methodologies and major revisions require 75% supermajority of the Standards Committee; minor or technical revisions to already-approved methodologies require a simple majority.</w:t>
      </w:r>
    </w:p>
    <w:tbl>
      <w:tblPr>
        <w:tblStyle w:val="LightGrid-Accent1"/>
        <w:tblW w:type="auto" w:w="0"/>
        <w:tblLook w:firstColumn="1" w:firstRow="1" w:lastColumn="0" w:lastRow="0" w:noHBand="0" w:noVBand="1" w:val="04A0"/>
      </w:tblPr>
      <w:tblGrid>
        <w:gridCol w:w="3120"/>
        <w:gridCol w:w="3120"/>
        <w:gridCol w:w="3120"/>
      </w:tblGrid>
      <w:tr>
        <w:tc>
          <w:tcPr>
            <w:tcW w:type="dxa" w:w="3120"/>
          </w:tcPr>
          <w:p>
            <w:r>
              <w:rPr>
                <w:b/>
              </w:rPr>
              <w:t>Decision</w:t>
            </w:r>
          </w:p>
        </w:tc>
        <w:tc>
          <w:tcPr>
            <w:tcW w:type="dxa" w:w="3120"/>
          </w:tcPr>
          <w:p>
            <w:r>
              <w:rPr>
                <w:b/>
              </w:rPr>
              <w:t>Authority</w:t>
            </w:r>
          </w:p>
        </w:tc>
        <w:tc>
          <w:tcPr>
            <w:tcW w:type="dxa" w:w="3120"/>
          </w:tcPr>
          <w:p>
            <w:r>
              <w:rPr>
                <w:b/>
              </w:rPr>
              <w:t>Voting</w:t>
            </w:r>
          </w:p>
        </w:tc>
      </w:tr>
      <w:tr>
        <w:tc>
          <w:tcPr>
            <w:tcW w:type="dxa" w:w="3120"/>
          </w:tcPr>
          <w:p>
            <w:r>
              <w:t>Methodology approval (new methodology)</w:t>
            </w:r>
          </w:p>
        </w:tc>
        <w:tc>
          <w:tcPr>
            <w:tcW w:type="dxa" w:w="3120"/>
          </w:tcPr>
          <w:p>
            <w:r>
              <w:t>Standards Committee</w:t>
            </w:r>
          </w:p>
        </w:tc>
        <w:tc>
          <w:tcPr>
            <w:tcW w:type="dxa" w:w="3120"/>
          </w:tcPr>
          <w:p>
            <w:r>
              <w:t>75% supermajority</w:t>
            </w:r>
          </w:p>
        </w:tc>
      </w:tr>
      <w:tr>
        <w:tc>
          <w:tcPr>
            <w:tcW w:type="dxa" w:w="3120"/>
          </w:tcPr>
          <w:p>
            <w:r>
              <w:t>Methodology amendment (minor/technical revision)</w:t>
            </w:r>
          </w:p>
        </w:tc>
        <w:tc>
          <w:tcPr>
            <w:tcW w:type="dxa" w:w="3120"/>
          </w:tcPr>
          <w:p>
            <w:r>
              <w:t>Standards Committee with GB approval</w:t>
            </w:r>
          </w:p>
        </w:tc>
        <w:tc>
          <w:tcPr>
            <w:tcW w:type="dxa" w:w="3120"/>
          </w:tcPr>
          <w:p>
            <w:r>
              <w:t>Simple majority</w:t>
            </w:r>
          </w:p>
        </w:tc>
      </w:tr>
      <w:tr>
        <w:tc>
          <w:tcPr>
            <w:tcW w:type="dxa" w:w="3120"/>
          </w:tcPr>
          <w:p>
            <w:r>
              <w:t>New VVB accreditation</w:t>
            </w:r>
          </w:p>
        </w:tc>
        <w:tc>
          <w:tcPr>
            <w:tcW w:type="dxa" w:w="3120"/>
          </w:tcPr>
          <w:p>
            <w:r>
              <w:t>Review Authority</w:t>
            </w:r>
          </w:p>
        </w:tc>
        <w:tc>
          <w:tcPr>
            <w:tcW w:type="dxa" w:w="3120"/>
          </w:tcPr>
          <w:p>
            <w:r>
              <w:t>Majority</w:t>
            </w:r>
          </w:p>
        </w:tc>
      </w:tr>
      <w:tr>
        <w:tc>
          <w:tcPr>
            <w:tcW w:type="dxa" w:w="3120"/>
          </w:tcPr>
          <w:p>
            <w:r>
              <w:t>VVB suspension/revocation</w:t>
            </w:r>
          </w:p>
        </w:tc>
        <w:tc>
          <w:tcPr>
            <w:tcW w:type="dxa" w:w="3120"/>
          </w:tcPr>
          <w:p>
            <w:r>
              <w:t>Review Authority</w:t>
            </w:r>
          </w:p>
        </w:tc>
        <w:tc>
          <w:tcPr>
            <w:tcW w:type="dxa" w:w="3120"/>
          </w:tcPr>
          <w:p>
            <w:r>
              <w:t>2/3 majority</w:t>
            </w:r>
          </w:p>
        </w:tc>
      </w:tr>
      <w:tr>
        <w:tc>
          <w:tcPr>
            <w:tcW w:type="dxa" w:w="3120"/>
          </w:tcPr>
          <w:p>
            <w:r>
              <w:t>Project registration</w:t>
            </w:r>
          </w:p>
        </w:tc>
        <w:tc>
          <w:tcPr>
            <w:tcW w:type="dxa" w:w="3120"/>
          </w:tcPr>
          <w:p>
            <w:r>
              <w:t>Review Authority</w:t>
            </w:r>
          </w:p>
        </w:tc>
        <w:tc>
          <w:tcPr>
            <w:tcW w:type="dxa" w:w="3120"/>
          </w:tcPr>
          <w:p>
            <w:r>
              <w:t>Majority</w:t>
            </w:r>
          </w:p>
        </w:tc>
      </w:tr>
      <w:tr>
        <w:tc>
          <w:tcPr>
            <w:tcW w:type="dxa" w:w="3120"/>
          </w:tcPr>
          <w:p>
            <w:r>
              <w:t>Project safeguards clearance (Category A)</w:t>
            </w:r>
          </w:p>
        </w:tc>
        <w:tc>
          <w:tcPr>
            <w:tcW w:type="dxa" w:w="3120"/>
          </w:tcPr>
          <w:p>
            <w:r>
              <w:t>Review Authority (with Safeguards Panel rec.)</w:t>
            </w:r>
          </w:p>
        </w:tc>
        <w:tc>
          <w:tcPr>
            <w:tcW w:type="dxa" w:w="3120"/>
          </w:tcPr>
          <w:p>
            <w:r>
              <w:t>Majority</w:t>
            </w:r>
          </w:p>
        </w:tc>
      </w:tr>
      <w:tr>
        <w:tc>
          <w:tcPr>
            <w:tcW w:type="dxa" w:w="3120"/>
          </w:tcPr>
          <w:p>
            <w:r>
              <w:t>SD label certification</w:t>
            </w:r>
          </w:p>
        </w:tc>
        <w:tc>
          <w:tcPr>
            <w:tcW w:type="dxa" w:w="3120"/>
          </w:tcPr>
          <w:p>
            <w:r>
              <w:t>SD Expert Panel</w:t>
            </w:r>
          </w:p>
        </w:tc>
        <w:tc>
          <w:tcPr>
            <w:tcW w:type="dxa" w:w="3120"/>
          </w:tcPr>
          <w:p>
            <w:r>
              <w:t>Majority</w:t>
            </w:r>
          </w:p>
        </w:tc>
      </w:tr>
      <w:tr>
        <w:tc>
          <w:tcPr>
            <w:tcW w:type="dxa" w:w="3120"/>
          </w:tcPr>
          <w:p>
            <w:r>
              <w:t>Host Country Auth verification</w:t>
            </w:r>
          </w:p>
        </w:tc>
        <w:tc>
          <w:tcPr>
            <w:tcW w:type="dxa" w:w="3120"/>
          </w:tcPr>
          <w:p>
            <w:r>
              <w:t>Review Authority</w:t>
            </w:r>
          </w:p>
        </w:tc>
        <w:tc>
          <w:tcPr>
            <w:tcW w:type="dxa" w:w="3120"/>
          </w:tcPr>
          <w:p>
            <w:r>
              <w:t>Majority</w:t>
            </w:r>
          </w:p>
        </w:tc>
      </w:tr>
      <w:tr>
        <w:tc>
          <w:tcPr>
            <w:tcW w:type="dxa" w:w="3120"/>
          </w:tcPr>
          <w:p>
            <w:r>
              <w:t>Corresponding Adjustment verification</w:t>
            </w:r>
          </w:p>
        </w:tc>
        <w:tc>
          <w:tcPr>
            <w:tcW w:type="dxa" w:w="3120"/>
          </w:tcPr>
          <w:p>
            <w:r>
              <w:t>Review Authority</w:t>
            </w:r>
          </w:p>
        </w:tc>
        <w:tc>
          <w:tcPr>
            <w:tcW w:type="dxa" w:w="3120"/>
          </w:tcPr>
          <w:p>
            <w:r>
              <w:t>Majority</w:t>
            </w:r>
          </w:p>
        </w:tc>
      </w:tr>
      <w:tr>
        <w:tc>
          <w:tcPr>
            <w:tcW w:type="dxa" w:w="3120"/>
          </w:tcPr>
          <w:p>
            <w:r>
              <w:t>Credit issuance</w:t>
            </w:r>
          </w:p>
        </w:tc>
        <w:tc>
          <w:tcPr>
            <w:tcW w:type="dxa" w:w="3120"/>
          </w:tcPr>
          <w:p>
            <w:r>
              <w:t>Review Authority</w:t>
            </w:r>
          </w:p>
        </w:tc>
        <w:tc>
          <w:tcPr>
            <w:tcW w:type="dxa" w:w="3120"/>
          </w:tcPr>
          <w:p>
            <w:r>
              <w:t>Majority</w:t>
            </w:r>
          </w:p>
        </w:tc>
      </w:tr>
      <w:tr>
        <w:tc>
          <w:tcPr>
            <w:tcW w:type="dxa" w:w="3120"/>
          </w:tcPr>
          <w:p>
            <w:r>
              <w:t>Buffer release</w:t>
            </w:r>
          </w:p>
        </w:tc>
        <w:tc>
          <w:tcPr>
            <w:tcW w:type="dxa" w:w="3120"/>
          </w:tcPr>
          <w:p>
            <w:r>
              <w:t>Registry Oversight Authority</w:t>
            </w:r>
          </w:p>
        </w:tc>
        <w:tc>
          <w:tcPr>
            <w:tcW w:type="dxa" w:w="3120"/>
          </w:tcPr>
          <w:p>
            <w:r>
              <w:t>Majority</w:t>
            </w:r>
          </w:p>
        </w:tc>
      </w:tr>
      <w:tr>
        <w:tc>
          <w:tcPr>
            <w:tcW w:type="dxa" w:w="3120"/>
          </w:tcPr>
          <w:p>
            <w:r>
              <w:t>Buffer cancellation</w:t>
            </w:r>
          </w:p>
        </w:tc>
        <w:tc>
          <w:tcPr>
            <w:tcW w:type="dxa" w:w="3120"/>
          </w:tcPr>
          <w:p>
            <w:r>
              <w:t>Review Authority</w:t>
            </w:r>
          </w:p>
        </w:tc>
        <w:tc>
          <w:tcPr>
            <w:tcW w:type="dxa" w:w="3120"/>
          </w:tcPr>
          <w:p>
            <w:r>
              <w:t>Majority</w:t>
            </w:r>
          </w:p>
        </w:tc>
      </w:tr>
      <w:tr>
        <w:tc>
          <w:tcPr>
            <w:tcW w:type="dxa" w:w="3120"/>
          </w:tcPr>
          <w:p>
            <w:r>
              <w:t>Project suspension (safeguards)</w:t>
            </w:r>
          </w:p>
        </w:tc>
        <w:tc>
          <w:tcPr>
            <w:tcW w:type="dxa" w:w="3120"/>
          </w:tcPr>
          <w:p>
            <w:r>
              <w:t>Review Authority</w:t>
            </w:r>
          </w:p>
        </w:tc>
        <w:tc>
          <w:tcPr>
            <w:tcW w:type="dxa" w:w="3120"/>
          </w:tcPr>
          <w:p>
            <w:r>
              <w:t>Majority</w:t>
            </w:r>
          </w:p>
        </w:tc>
      </w:tr>
      <w:tr>
        <w:tc>
          <w:tcPr>
            <w:tcW w:type="dxa" w:w="3120"/>
          </w:tcPr>
          <w:p>
            <w:r>
              <w:t>Project revocation</w:t>
            </w:r>
          </w:p>
        </w:tc>
        <w:tc>
          <w:tcPr>
            <w:tcW w:type="dxa" w:w="3120"/>
          </w:tcPr>
          <w:p>
            <w:r>
              <w:t>Review Authority</w:t>
            </w:r>
          </w:p>
        </w:tc>
        <w:tc>
          <w:tcPr>
            <w:tcW w:type="dxa" w:w="3120"/>
          </w:tcPr>
          <w:p>
            <w:r>
              <w:t>2/3 majority</w:t>
            </w:r>
          </w:p>
        </w:tc>
      </w:tr>
      <w:tr>
        <w:tc>
          <w:tcPr>
            <w:tcW w:type="dxa" w:w="3120"/>
          </w:tcPr>
          <w:p>
            <w:r>
              <w:t>Appeal determination</w:t>
            </w:r>
          </w:p>
        </w:tc>
        <w:tc>
          <w:tcPr>
            <w:tcW w:type="dxa" w:w="3120"/>
          </w:tcPr>
          <w:p>
            <w:r>
              <w:t>Review Authority or independent arbiter</w:t>
            </w:r>
          </w:p>
        </w:tc>
        <w:tc>
          <w:tcPr>
            <w:tcW w:type="dxa" w:w="3120"/>
          </w:tcPr>
          <w:p>
            <w:r>
              <w:t>Varies by procedure</w:t>
            </w:r>
          </w:p>
        </w:tc>
      </w:tr>
      <w:tr>
        <w:tc>
          <w:tcPr>
            <w:tcW w:type="dxa" w:w="3120"/>
          </w:tcPr>
          <w:p>
            <w:r>
              <w:t>Phase transition</w:t>
            </w:r>
          </w:p>
        </w:tc>
        <w:tc>
          <w:tcPr>
            <w:tcW w:type="dxa" w:w="3120"/>
          </w:tcPr>
          <w:p>
            <w:r>
              <w:t>Governing Board</w:t>
            </w:r>
          </w:p>
        </w:tc>
        <w:tc>
          <w:tcPr>
            <w:tcW w:type="dxa" w:w="3120"/>
          </w:tcPr>
          <w:p>
            <w:r>
              <w:t>75%</w:t>
            </w:r>
          </w:p>
        </w:tc>
      </w:tr>
      <w:tr>
        <w:tc>
          <w:tcPr>
            <w:tcW w:type="dxa" w:w="3120"/>
          </w:tcPr>
          <w:p>
            <w:r>
              <w:t>Governance procedure amendment</w:t>
            </w:r>
          </w:p>
        </w:tc>
        <w:tc>
          <w:tcPr>
            <w:tcW w:type="dxa" w:w="3120"/>
          </w:tcPr>
          <w:p>
            <w:r>
              <w:t>Governing Board</w:t>
            </w:r>
          </w:p>
        </w:tc>
        <w:tc>
          <w:tcPr>
            <w:tcW w:type="dxa" w:w="3120"/>
          </w:tcPr>
          <w:p>
            <w:r>
              <w:t>75%</w:t>
            </w:r>
          </w:p>
        </w:tc>
      </w:tr>
      <w:tr>
        <w:tc>
          <w:tcPr>
            <w:tcW w:type="dxa" w:w="3120"/>
          </w:tcPr>
          <w:p>
            <w:r>
              <w:t>Constitutional amendment</w:t>
            </w:r>
          </w:p>
        </w:tc>
        <w:tc>
          <w:tcPr>
            <w:tcW w:type="dxa" w:w="3120"/>
          </w:tcPr>
          <w:p>
            <w:r>
              <w:t>Governing Board</w:t>
            </w:r>
          </w:p>
        </w:tc>
        <w:tc>
          <w:tcPr>
            <w:tcW w:type="dxa" w:w="3120"/>
          </w:tcPr>
          <w:p>
            <w:r>
              <w:t>Unanimous</w:t>
            </w:r>
          </w:p>
        </w:tc>
      </w:tr>
      <w:tr>
        <w:tc>
          <w:tcPr>
            <w:tcW w:type="dxa" w:w="3120"/>
          </w:tcPr>
          <w:p>
            <w:r>
              <w:t>Methodology revision (major: scope expansion, baseline change, quantification change)</w:t>
            </w:r>
          </w:p>
        </w:tc>
        <w:tc>
          <w:tcPr>
            <w:tcW w:type="dxa" w:w="3120"/>
          </w:tcPr>
          <w:p>
            <w:r>
              <w:t>Standards Committee with GB approval</w:t>
            </w:r>
          </w:p>
        </w:tc>
        <w:tc>
          <w:tcPr>
            <w:tcW w:type="dxa" w:w="3120"/>
          </w:tcPr>
          <w:p>
            <w:r>
              <w:t>75% supermajority (treated as new methodology)</w:t>
            </w:r>
          </w:p>
        </w:tc>
      </w:tr>
    </w:tbl>
    <w:p>
      <w:pPr>
        <w:pStyle w:val="Heading1"/>
      </w:pPr>
      <w:r>
        <w:t>12.  VOTING PROCEDURES</w:t>
      </w:r>
    </w:p>
    <w:p>
      <w:r>
        <w:t>12.1  All governance bodies shall follow standard voting procedures unless otherwise specified:</w:t>
      </w:r>
    </w:p>
    <w:p>
      <w:pPr>
        <w:pStyle w:val="ListBullet"/>
      </w:pPr>
      <w:r>
        <w:t>Quorum: Majority of appointed members (50% + 1)</w:t>
      </w:r>
    </w:p>
    <w:p>
      <w:pPr>
        <w:pStyle w:val="ListBullet"/>
      </w:pPr>
      <w:r>
        <w:t>Voting rights: Each member has one vote, regardless of background</w:t>
      </w:r>
    </w:p>
    <w:p>
      <w:pPr>
        <w:pStyle w:val="ListBullet"/>
      </w:pPr>
      <w:r>
        <w:t>Voting methods: Voice vote (unanimous/near-unanimous), show of hands, or secret ballot (upon request)</w:t>
      </w:r>
    </w:p>
    <w:p>
      <w:pPr>
        <w:pStyle w:val="ListBullet"/>
      </w:pPr>
      <w:r>
        <w:t>Abstention: Members may abstain if conflict of interest exists or insufficient information is available</w:t>
      </w:r>
    </w:p>
    <w:p>
      <w:pPr>
        <w:pStyle w:val="ListBullet"/>
      </w:pPr>
      <w:r>
        <w:t>Tie-breaking: In case of tie, the Chairperson casts a deciding vote; if Chairperson abstains, the matter fails</w:t>
      </w:r>
    </w:p>
    <w:p>
      <w:r>
        <w:t>12.2  All votes shall be recorded with: voter identities, votes cast (Yes/No/Abstain), vote counts, and rationale for any no/abstain votes. Voting records shall be published quarterly unless confidentiality is required by law.</w:t>
      </w:r>
    </w:p>
    <w:p>
      <w:pPr>
        <w:pStyle w:val="Heading1"/>
      </w:pPr>
      <w:r>
        <w:t>13.  CONFLICT OF INTEREST RULES</w:t>
      </w:r>
    </w:p>
    <w:p>
      <w:r>
        <w:t>13.1  Conflict of interest exists when a governance body member has a material interest (financial or personal) that could improperly influence judgment in a decision.</w:t>
      </w:r>
    </w:p>
    <w:p>
      <w:r>
        <w:t>13.2  All governance body members shall:</w:t>
      </w:r>
    </w:p>
    <w:p>
      <w:pPr>
        <w:pStyle w:val="ListBullet"/>
      </w:pPr>
      <w:r>
        <w:t>Disclose all material interests upon appointment and annually thereafter</w:t>
      </w:r>
    </w:p>
    <w:p>
      <w:pPr>
        <w:pStyle w:val="ListBullet"/>
      </w:pPr>
      <w:r>
        <w:t>Recuse themselves from voting on matters where a conflict exists</w:t>
      </w:r>
    </w:p>
    <w:p>
      <w:pPr>
        <w:pStyle w:val="ListBullet"/>
      </w:pPr>
      <w:r>
        <w:t>Not participate in deliberations on conflicted matters</w:t>
      </w:r>
    </w:p>
    <w:p>
      <w:pPr>
        <w:pStyle w:val="ListBullet"/>
      </w:pPr>
      <w:r>
        <w:t>Accept removal from a body if conflicts are irresolvable</w:t>
      </w:r>
    </w:p>
    <w:p>
      <w:r>
        <w:t>13.3  Conflict categories: Examples include (but are not limited to):</w:t>
      </w:r>
    </w:p>
    <w:p>
      <w:pPr>
        <w:pStyle w:val="ListBullet"/>
      </w:pPr>
      <w:r>
        <w:t>Financial interests (ownership, employment, contracts) in applicant/project developer</w:t>
      </w:r>
    </w:p>
    <w:p>
      <w:pPr>
        <w:pStyle w:val="ListBullet"/>
      </w:pPr>
      <w:r>
        <w:t>Institutional relationships (current or former employment) with applicant</w:t>
      </w:r>
    </w:p>
    <w:p>
      <w:pPr>
        <w:pStyle w:val="ListBullet"/>
      </w:pPr>
      <w:r>
        <w:t>Family relationships with decision subjects</w:t>
      </w:r>
    </w:p>
    <w:p>
      <w:pPr>
        <w:pStyle w:val="ListBullet"/>
      </w:pPr>
      <w:r>
        <w:t>IP ownership or licensing arrangements related to decision subject</w:t>
      </w:r>
    </w:p>
    <w:p>
      <w:pPr>
        <w:pStyle w:val="ListBullet"/>
      </w:pPr>
      <w:r>
        <w:t>Roles in multiple governance bodies that might improperly influence judgment</w:t>
      </w:r>
    </w:p>
    <w:p>
      <w:r>
        <w:t>13.4  Governance bodies shall maintain a Conflict of Interest Register, updated quarterly and available for inspection. The Register shall be published annually.</w:t>
      </w:r>
    </w:p>
    <w:p>
      <w:pPr>
        <w:pStyle w:val="Heading1"/>
      </w:pPr>
      <w:r>
        <w:t>14.  RECORDKEEPING AND TRANSPARENCY</w:t>
      </w:r>
    </w:p>
    <w:p>
      <w:r>
        <w:t>14.1  All governance bodies shall maintain records of:</w:t>
      </w:r>
    </w:p>
    <w:p>
      <w:pPr>
        <w:pStyle w:val="ListBullet"/>
      </w:pPr>
      <w:r>
        <w:t>Meeting agendas and minutes</w:t>
      </w:r>
    </w:p>
    <w:p>
      <w:pPr>
        <w:pStyle w:val="ListBullet"/>
      </w:pPr>
      <w:r>
        <w:t>Voting records (voter identities, votes, counts, rationales)</w:t>
      </w:r>
    </w:p>
    <w:p>
      <w:pPr>
        <w:pStyle w:val="ListBullet"/>
      </w:pPr>
      <w:r>
        <w:t>Decision memoranda and supporting analysis</w:t>
      </w:r>
    </w:p>
    <w:p>
      <w:pPr>
        <w:pStyle w:val="ListBullet"/>
      </w:pPr>
      <w:r>
        <w:t>Conflict of interest declarations</w:t>
      </w:r>
    </w:p>
    <w:p>
      <w:pPr>
        <w:pStyle w:val="ListBullet"/>
      </w:pPr>
      <w:r>
        <w:t>Appeals and grievances</w:t>
      </w:r>
    </w:p>
    <w:p>
      <w:pPr>
        <w:pStyle w:val="ListBullet"/>
      </w:pPr>
      <w:r>
        <w:t>External audit reports</w:t>
      </w:r>
    </w:p>
    <w:p>
      <w:r>
        <w:t>14.2  Records shall be retained for a minimum of seven (7) years and shall be made available for inspection by the public, subject to confidentiality restrictions in Section 14.3.</w:t>
      </w:r>
    </w:p>
    <w:p>
      <w:r>
        <w:t>14.3  Confidentiality: The following information may be withheld from public disclosure:</w:t>
      </w:r>
    </w:p>
    <w:p>
      <w:pPr>
        <w:pStyle w:val="ListBullet"/>
      </w:pPr>
      <w:r>
        <w:t>Proprietary project information (if project developer requests and confidentiality is justified)</w:t>
      </w:r>
    </w:p>
    <w:p>
      <w:pPr>
        <w:pStyle w:val="ListBullet"/>
      </w:pPr>
      <w:r>
        <w:t>Personal identifying information of individuals</w:t>
      </w:r>
    </w:p>
    <w:p>
      <w:pPr>
        <w:pStyle w:val="ListBullet"/>
      </w:pPr>
      <w:r>
        <w:t>Information subject to attorney-client privilege or legal professional privilege</w:t>
      </w:r>
    </w:p>
    <w:p>
      <w:pPr>
        <w:pStyle w:val="ListBullet"/>
      </w:pPr>
      <w:r>
        <w:t>Information protected by intellectual property laws</w:t>
      </w:r>
    </w:p>
    <w:p>
      <w:r>
        <w:t>14.4  Transparency reporting: The Programme shall publish quarterly reports including:</w:t>
      </w:r>
    </w:p>
    <w:p>
      <w:pPr>
        <w:pStyle w:val="ListBullet"/>
      </w:pPr>
      <w:r>
        <w:t>Summary of decisions made by governance bodies</w:t>
      </w:r>
    </w:p>
    <w:p>
      <w:pPr>
        <w:pStyle w:val="ListBullet"/>
      </w:pPr>
      <w:r>
        <w:t>Projects registered, credits issued, credits retired</w:t>
      </w:r>
    </w:p>
    <w:p>
      <w:pPr>
        <w:pStyle w:val="ListBullet"/>
      </w:pPr>
      <w:r>
        <w:t>Appeals filed and outcomes</w:t>
      </w:r>
    </w:p>
    <w:p>
      <w:pPr>
        <w:pStyle w:val="ListBullet"/>
      </w:pPr>
      <w:r>
        <w:t>Grievances received and resolved</w:t>
      </w:r>
    </w:p>
    <w:p>
      <w:pPr>
        <w:pStyle w:val="ListBullet"/>
      </w:pPr>
      <w:r>
        <w:t>Audit findings and corrective actions</w:t>
      </w:r>
    </w:p>
    <w:p>
      <w:r>
        <w:t>14.5  All governance body minutes shall be published within thirty (30) days of meeting, with redactions as permitted in Section 14.3.</w:t>
      </w:r>
    </w:p>
    <w:p>
      <w:pPr>
        <w:pStyle w:val="Heading1"/>
      </w:pPr>
      <w:r>
        <w:t>15.  APPEALS PROCEDURE</w:t>
      </w:r>
    </w:p>
    <w:p>
      <w:r>
        <w:t>15.1  Right of appeal: Any person materially affected by a Programme decision may appeal that decision. Materially affected persons include:</w:t>
      </w:r>
    </w:p>
    <w:p>
      <w:pPr>
        <w:pStyle w:val="ListBullet"/>
      </w:pPr>
      <w:r>
        <w:t>Project developers</w:t>
      </w:r>
    </w:p>
    <w:p>
      <w:pPr>
        <w:pStyle w:val="ListBullet"/>
      </w:pPr>
      <w:r>
        <w:t>VVBs</w:t>
      </w:r>
    </w:p>
    <w:p>
      <w:pPr>
        <w:pStyle w:val="ListBullet"/>
      </w:pPr>
      <w:r>
        <w:t>Host country governments</w:t>
      </w:r>
    </w:p>
    <w:p>
      <w:pPr>
        <w:pStyle w:val="ListBullet"/>
      </w:pPr>
      <w:r>
        <w:t>Communities affected by projects</w:t>
      </w:r>
    </w:p>
    <w:p>
      <w:pPr>
        <w:pStyle w:val="ListBullet"/>
      </w:pPr>
      <w:r>
        <w:t>Other stakeholders demonstrating material interest</w:t>
      </w:r>
    </w:p>
    <w:p>
      <w:r>
        <w:t>15.2  Appealable decisions:</w:t>
      </w:r>
    </w:p>
    <w:p>
      <w:pPr>
        <w:pStyle w:val="ListBullet"/>
      </w:pPr>
      <w:r>
        <w:t>Project registration rejection</w:t>
      </w:r>
    </w:p>
    <w:p>
      <w:pPr>
        <w:pStyle w:val="ListBullet"/>
      </w:pPr>
      <w:r>
        <w:t>Safeguards clearance denial</w:t>
      </w:r>
    </w:p>
    <w:p>
      <w:pPr>
        <w:pStyle w:val="ListBullet"/>
      </w:pPr>
      <w:r>
        <w:t>Credit issuance reduction or denial</w:t>
      </w:r>
    </w:p>
    <w:p>
      <w:pPr>
        <w:pStyle w:val="ListBullet"/>
      </w:pPr>
      <w:r>
        <w:t>Project suspension or revocation</w:t>
      </w:r>
    </w:p>
    <w:p>
      <w:pPr>
        <w:pStyle w:val="ListBullet"/>
      </w:pPr>
      <w:r>
        <w:t>VVB accreditation rejection or revocation</w:t>
      </w:r>
    </w:p>
    <w:p>
      <w:pPr>
        <w:pStyle w:val="ListBullet"/>
      </w:pPr>
      <w:r>
        <w:t>Methodology approval rejection</w:t>
      </w:r>
    </w:p>
    <w:p>
      <w:r>
        <w:t>15.3  Appeal timeline:</w:t>
      </w:r>
    </w:p>
    <w:p>
      <w:pPr>
        <w:pStyle w:val="ListBullet"/>
      </w:pPr>
      <w:r>
        <w:t>Appeal must be filed within thirty (30) calendar days of receiving decision notice</w:t>
      </w:r>
    </w:p>
    <w:p>
      <w:pPr>
        <w:pStyle w:val="ListBullet"/>
      </w:pPr>
      <w:r>
        <w:t>Appeal shall include written statement of grounds, supporting evidence, and requested remedy</w:t>
      </w:r>
    </w:p>
    <w:p>
      <w:pPr>
        <w:pStyle w:val="ListBullet"/>
      </w:pPr>
      <w:r>
        <w:t>Review Authority shall acknowledge receipt within five (5) business days</w:t>
      </w:r>
    </w:p>
    <w:p>
      <w:r>
        <w:t>15.4  Appeal levels:</w:t>
      </w:r>
    </w:p>
    <w:p>
      <w:pPr>
        <w:pStyle w:val="ListBullet"/>
      </w:pPr>
      <w:r>
        <w:t>Level 1 (Internal Appeal): Review Authority reconsideration</w:t>
      </w:r>
    </w:p>
    <w:p>
      <w:pPr>
        <w:pStyle w:val="ListBullet"/>
      </w:pPr>
      <w:r>
        <w:t>Level 2 (Governing Board): Appeal of Review Authority decision (if initial decision was by Review Authority)</w:t>
      </w:r>
    </w:p>
    <w:p>
      <w:pPr>
        <w:pStyle w:val="ListBullet"/>
      </w:pPr>
      <w:r>
        <w:t>Level 3 (Independent Dispute Resolution): External arbitration or mediation</w:t>
      </w:r>
    </w:p>
    <w:p>
      <w:r>
        <w:t>15.5  Level 1 appeal (Internal Review Authority reconsideration):</w:t>
      </w:r>
    </w:p>
    <w:p>
      <w:pPr>
        <w:pStyle w:val="ListBullet"/>
      </w:pPr>
      <w:r>
        <w:t>A panel of Review Authority members not involved in original decision shall review the appeal</w:t>
      </w:r>
    </w:p>
    <w:p>
      <w:pPr>
        <w:pStyle w:val="ListBullet"/>
      </w:pPr>
      <w:r>
        <w:t>Review Authority shall provide written decision with rationale within forty-five (45) calendar days</w:t>
      </w:r>
    </w:p>
    <w:p>
      <w:pPr>
        <w:pStyle w:val="ListBullet"/>
      </w:pPr>
      <w:r>
        <w:t>Decision shall either uphold, overturn, or remand the original decision</w:t>
      </w:r>
    </w:p>
    <w:p>
      <w:r>
        <w:t>15.6  Level 2 appeal (Governing Board review):</w:t>
      </w:r>
    </w:p>
    <w:p>
      <w:pPr>
        <w:pStyle w:val="ListBullet"/>
      </w:pPr>
      <w:r>
        <w:t>Available only if appellant is unsatisfied with Level 1 decision</w:t>
      </w:r>
    </w:p>
    <w:p>
      <w:pPr>
        <w:pStyle w:val="ListBullet"/>
      </w:pPr>
      <w:r>
        <w:t>Governing Board shall review on record (limited to evidence already presented)</w:t>
      </w:r>
    </w:p>
    <w:p>
      <w:pPr>
        <w:pStyle w:val="ListBullet"/>
      </w:pPr>
      <w:r>
        <w:t>Governing Board shall provide written decision with rationale within sixty (60) calendar days</w:t>
      </w:r>
    </w:p>
    <w:p>
      <w:pPr>
        <w:pStyle w:val="ListBullet"/>
      </w:pPr>
      <w:r>
        <w:t>Governing Board decision is final, unless Level 3 appeal is available</w:t>
      </w:r>
    </w:p>
    <w:p>
      <w:r>
        <w:t>15.7  Level 3 appeal (Independent dispute resolution):</w:t>
      </w:r>
    </w:p>
    <w:p>
      <w:pPr>
        <w:pStyle w:val="ListBullet"/>
      </w:pPr>
      <w:r>
        <w:t>Appellant may pursue independent dispute resolution (mediation or arbitration) if they believe the Governing Board decision was not in accordance with MCC procedures or law</w:t>
      </w:r>
    </w:p>
    <w:p>
      <w:pPr>
        <w:pStyle w:val="ListBullet"/>
      </w:pPr>
      <w:r>
        <w:t>Dispute resolution shall be conducted by a neutral third party (mediator or arbitrator) selected by mutual agreement</w:t>
      </w:r>
    </w:p>
    <w:p>
      <w:pPr>
        <w:pStyle w:val="ListBullet"/>
      </w:pPr>
      <w:r>
        <w:t>Costs: Appellant bears own costs; Programme bears neutral costs unless appellant request is frivolous</w:t>
      </w:r>
    </w:p>
    <w:p>
      <w:pPr>
        <w:pStyle w:val="ListBullet"/>
      </w:pPr>
      <w:r>
        <w:t>Neutral decision is binding on all parties unless a legal claim exists</w:t>
      </w:r>
    </w:p>
    <w:p>
      <w:r>
        <w:t>15.8  Interim relief: During appeal, the Programme may take interim action if necessary to prevent irreparable harm or maintain Programme integrity. Interim action shall be reviewed as part of the appeal.</w:t>
      </w:r>
    </w:p>
    <w:p>
      <w:pPr>
        <w:pStyle w:val="Heading1"/>
      </w:pPr>
      <w:r>
        <w:t>16.  ROLE OF AI SYSTEMS</w:t>
      </w:r>
    </w:p>
    <w:p>
      <w:r>
        <w:t>16.1  MCC may deploy artificial intelligence (AI) or machine learning systems to support governance functions, including data analysis, pattern recognition, compliance monitoring, and decision support. AI systems may never replace human judgment in final governance decisions.</w:t>
      </w:r>
    </w:p>
    <w:p>
      <w:r>
        <w:t>16.2  AI system governance:</w:t>
      </w:r>
    </w:p>
    <w:p>
      <w:pPr>
        <w:pStyle w:val="ListBullet"/>
      </w:pPr>
      <w:r>
        <w:t>All AI systems used in governance shall be described publicly with their purpose, limitations, and accuracy assessments</w:t>
      </w:r>
    </w:p>
    <w:p>
      <w:pPr>
        <w:pStyle w:val="ListBullet"/>
      </w:pPr>
      <w:r>
        <w:t>AI systems shall be monitored for bias, accuracy degradation, and unintended consequences</w:t>
      </w:r>
    </w:p>
    <w:p>
      <w:pPr>
        <w:pStyle w:val="ListBullet"/>
      </w:pPr>
      <w:r>
        <w:t>Governance bodies shall retain authority to override AI recommendations</w:t>
      </w:r>
    </w:p>
    <w:p>
      <w:pPr>
        <w:pStyle w:val="ListBullet"/>
      </w:pPr>
      <w:r>
        <w:t>Appeals of AI-supported decisions shall include human review independent of the AI</w:t>
      </w:r>
    </w:p>
    <w:p>
      <w:r>
        <w:t>16.3  AI system audit: The Registry Oversight Authority shall audit AI system performance quarterly, including accuracy, bias assessment, and user feedback.</w:t>
      </w:r>
    </w:p>
    <w:p>
      <w:pPr>
        <w:pStyle w:val="Heading1"/>
      </w:pPr>
      <w:r>
        <w:t>17.  AMENDMENTS TO GOVERNANCE RULES</w:t>
      </w:r>
    </w:p>
    <w:p>
      <w:r>
        <w:t>17.1  This Governance and Appeals Framework may be amended through the following process:</w:t>
      </w:r>
    </w:p>
    <w:p>
      <w:pPr>
        <w:pStyle w:val="ListBullet"/>
      </w:pPr>
      <w:r>
        <w:t>Proposed amendment submitted by Governing Board, Standards Committee, or affected stakeholder</w:t>
      </w:r>
    </w:p>
    <w:p>
      <w:pPr>
        <w:pStyle w:val="ListBullet"/>
      </w:pPr>
      <w:r>
        <w:t>Public consultation period of thirty (30) days minimum</w:t>
      </w:r>
    </w:p>
    <w:p>
      <w:pPr>
        <w:pStyle w:val="ListBullet"/>
      </w:pPr>
      <w:r>
        <w:t>Standards Committee review and recommendation</w:t>
      </w:r>
    </w:p>
    <w:p>
      <w:pPr>
        <w:pStyle w:val="ListBullet"/>
      </w:pPr>
      <w:r>
        <w:t>Governing Board approval by seventy-five percent (75%) supermajority</w:t>
      </w:r>
    </w:p>
    <w:p>
      <w:r>
        <w:t>17.2  Constitutional amendments (changes to MCC-001) require unanimous Governing Board consent and may require external ratification.</w:t>
      </w:r>
    </w:p>
    <w:p>
      <w:pPr>
        <w:pStyle w:val="Heading1"/>
      </w:pPr>
      <w:r>
        <w:t>18.  ENTRY INTO FORCE</w:t>
      </w:r>
    </w:p>
    <w:p>
      <w:r>
        <w:t>18.1  This Governance and Appeals Framework (MCC-700 Version 3.1) shall enter into force upon approval by the Governing Board on [Date to be inserted].</w:t>
      </w:r>
    </w:p>
    <w:p>
      <w:r>
        <w:t>18.2  All governance bodies shall comply with this Framework from the date of entry into force. Transition of existing decisions made under MCC-700 Version 2.0 shall proceed in accordance with established law and principle of non-retroactive application, except where necessary for Programme integrity or safeguards compliance.</w:t>
      </w:r>
    </w:p>
    <w:p>
      <w:r>
        <w:t>18.3  Within ninety (90) days of entry into force, all governance bodies shall review their procedures for conformance with this Framework and file attestations of compliance with the Governing Board.</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MCC-700 Governance and Appeals Version 3.0 — DRAFT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