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jc w:val="center"/>
      </w:pPr>
      <w:r>
        <w:rPr>
          <w:rFonts w:ascii="Arial" w:cs="Arial" w:eastAsia="Arial" w:hAnsi="Arial"/>
          <w:b/>
          <w:bCs/>
          <w:color w:val="1B4F72"/>
          <w:sz w:val="44"/>
          <w:szCs w:val="44"/>
        </w:rPr>
        <w:t xml:space="preserve">MARINE CONSERVATION CREDITS</w:t>
      </w:r>
    </w:p>
    <w:p>
      <w:pPr>
        <w:jc w:val="center"/>
      </w:pPr>
      <w:r>
        <w:rPr>
          <w:rFonts w:ascii="Arial" w:cs="Arial" w:eastAsia="Arial" w:hAnsi="Arial"/>
          <w:color w:val="2E86C1"/>
          <w:sz w:val="36"/>
          <w:szCs w:val="36"/>
        </w:rPr>
        <w:t xml:space="preserve">MCC-200 Methodology Framework v2.0</w:t>
      </w:r>
    </w:p>
    <w:p>
      <w:pPr>
        <w:spacing w:before="400"/>
        <w:jc w:val="center"/>
      </w:pPr>
      <w:r>
        <w:rPr>
          <w:rFonts w:ascii="Arial" w:cs="Arial" w:eastAsia="Arial" w:hAnsi="Arial"/>
          <w:color w:val="666666"/>
          <w:sz w:val="22"/>
          <w:szCs w:val="22"/>
        </w:rPr>
        <w:t xml:space="preserve">Revised to integrate Environmental and Social Safeguards, Sustainable Development</w:t>
      </w:r>
    </w:p>
    <w:p>
      <w:pPr>
        <w:jc w:val="center"/>
      </w:pPr>
      <w:r>
        <w:rPr>
          <w:rFonts w:ascii="Arial" w:cs="Arial" w:eastAsia="Arial" w:hAnsi="Arial"/>
          <w:color w:val="666666"/>
          <w:sz w:val="22"/>
          <w:szCs w:val="22"/>
        </w:rPr>
        <w:t xml:space="preserve">Contribution, Host Country Authorisation, Corresponding Adjustments, Buffer Pool, and Operational Roadmap</w:t>
      </w:r>
    </w:p>
    <w:p>
      <w:pPr>
        <w:spacing w:before="400"/>
        <w:jc w:val="center"/>
      </w:pPr>
      <w:r>
        <w:rPr>
          <w:rFonts w:ascii="Arial" w:cs="Arial" w:eastAsia="Arial" w:hAnsi="Arial"/>
          <w:b/>
          <w:bCs/>
          <w:color w:val="27AE60"/>
          <w:sz w:val="22"/>
          <w:szCs w:val="22"/>
        </w:rPr>
        <w:t xml:space="preserve">Date: March 2026 | Status: APPROVED</w:t>
      </w:r>
    </w:p>
    <w:p>
      <w:r>
        <w:br w:type="page"/>
      </w:r>
    </w:p>
    <w:p>
      <w:pPr>
        <w:pStyle w:val="Heading1"/>
      </w:pPr>
      <w:r>
        <w:rPr>
          <w:rFonts w:ascii="Arial" w:cs="Arial" w:eastAsia="Arial" w:hAnsi="Arial"/>
          <w:b/>
          <w:bCs/>
          <w:sz w:val="32"/>
          <w:szCs w:val="32"/>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r>
        <w:br w:type="page"/>
      </w:r>
    </w:p>
    <w:p>
      <w:pPr>
        <w:pStyle w:val="Heading1"/>
        <w:spacing w:before="360" w:after="240"/>
      </w:pPr>
      <w:r>
        <w:rPr>
          <w:rFonts w:ascii="Arial" w:cs="Arial" w:eastAsia="Arial" w:hAnsi="Arial"/>
          <w:b/>
          <w:bCs/>
          <w:color w:val="1B4F72"/>
          <w:sz w:val="32"/>
          <w:szCs w:val="32"/>
        </w:rPr>
        <w:t xml:space="preserve">SCOPE AND PURPOSE</w:t>
      </w:r>
    </w:p>
    <w:p>
      <w:pPr>
        <w:spacing w:after="120"/>
      </w:pPr>
      <w:r>
        <w:rPr>
          <w:rFonts w:ascii="Arial" w:cs="Arial" w:eastAsia="Arial" w:hAnsi="Arial"/>
          <w:b/>
          <w:bCs/>
          <w:color w:val="1B4F72"/>
          <w:sz w:val="22"/>
          <w:szCs w:val="22"/>
        </w:rPr>
        <w:t xml:space="preserve">0001  </w:t>
      </w:r>
      <w:r>
        <w:rPr>
          <w:rFonts w:ascii="Arial" w:cs="Arial" w:eastAsia="Arial" w:hAnsi="Arial"/>
          <w:sz w:val="22"/>
          <w:szCs w:val="22"/>
        </w:rPr>
        <w:t xml:space="preserve">This Framework shall govern the development, approval, application, and revision of all MCC methodologies.</w:t>
      </w:r>
    </w:p>
    <w:p>
      <w:pPr>
        <w:spacing w:after="120"/>
      </w:pPr>
      <w:r>
        <w:rPr>
          <w:rFonts w:ascii="Arial" w:cs="Arial" w:eastAsia="Arial" w:hAnsi="Arial"/>
          <w:b/>
          <w:bCs/>
          <w:color w:val="1B4F72"/>
          <w:sz w:val="22"/>
          <w:szCs w:val="22"/>
        </w:rPr>
        <w:t xml:space="preserve">0002  </w:t>
      </w:r>
      <w:r>
        <w:rPr>
          <w:rFonts w:ascii="Arial" w:cs="Arial" w:eastAsia="Arial" w:hAnsi="Arial"/>
          <w:sz w:val="22"/>
          <w:szCs w:val="22"/>
        </w:rPr>
        <w:t xml:space="preserve">MCC methodologies shall provide scientifically rigorous, transparent, and verifiable approaches to quantify marine environmental credits.</w:t>
      </w:r>
    </w:p>
    <w:p>
      <w:pPr>
        <w:spacing w:after="120"/>
      </w:pPr>
      <w:r>
        <w:rPr>
          <w:rFonts w:ascii="Arial" w:cs="Arial" w:eastAsia="Arial" w:hAnsi="Arial"/>
          <w:b/>
          <w:bCs/>
          <w:color w:val="1B4F72"/>
          <w:sz w:val="22"/>
          <w:szCs w:val="22"/>
        </w:rPr>
        <w:t xml:space="preserve">0003  </w:t>
      </w:r>
      <w:r>
        <w:rPr>
          <w:rFonts w:ascii="Arial" w:cs="Arial" w:eastAsia="Arial" w:hAnsi="Arial"/>
          <w:sz w:val="22"/>
          <w:szCs w:val="22"/>
        </w:rPr>
        <w:t xml:space="preserve">All methodologies shall comply with MCC-001 Charter and Constitution and shall reference applicable cross-cutting frameworks.</w:t>
      </w:r>
    </w:p>
    <w:p>
      <w:pPr>
        <w:spacing w:after="120"/>
      </w:pPr>
      <w:r>
        <w:rPr>
          <w:rFonts w:ascii="Arial" w:cs="Arial" w:eastAsia="Arial" w:hAnsi="Arial"/>
          <w:b/>
          <w:bCs/>
          <w:color w:val="1B4F72"/>
          <w:sz w:val="22"/>
          <w:szCs w:val="22"/>
        </w:rPr>
        <w:t xml:space="preserve">0004  </w:t>
      </w:r>
      <w:r>
        <w:rPr>
          <w:rFonts w:ascii="Arial" w:cs="Arial" w:eastAsia="Arial" w:hAnsi="Arial"/>
          <w:sz w:val="22"/>
          <w:szCs w:val="22"/>
        </w:rPr>
        <w:t xml:space="preserve">Methodology development shall be transparent and shall include peer review, scientific scrutiny, and stakeholder consultation.</w:t>
      </w:r>
    </w:p>
    <w:p>
      <w:pPr>
        <w:spacing w:after="120"/>
      </w:pPr>
      <w:r>
        <w:rPr>
          <w:rFonts w:ascii="Arial" w:cs="Arial" w:eastAsia="Arial" w:hAnsi="Arial"/>
          <w:b/>
          <w:bCs/>
          <w:color w:val="1B4F72"/>
          <w:sz w:val="22"/>
          <w:szCs w:val="22"/>
        </w:rPr>
        <w:t xml:space="preserve">0005  </w:t>
      </w:r>
      <w:r>
        <w:rPr>
          <w:rFonts w:ascii="Arial" w:cs="Arial" w:eastAsia="Arial" w:hAnsi="Arial"/>
          <w:sz w:val="22"/>
          <w:szCs w:val="22"/>
        </w:rPr>
        <w:t xml:space="preserve">All methodologies shall be designed for independent third-party verification and shall not presume AI or automated assessment as final authority.</w:t>
      </w:r>
    </w:p>
    <w:p>
      <w:pPr>
        <w:spacing w:after="120"/>
      </w:pPr>
      <w:r>
        <w:rPr>
          <w:rFonts w:ascii="Arial" w:cs="Arial" w:eastAsia="Arial" w:hAnsi="Arial"/>
          <w:b/>
          <w:bCs/>
          <w:color w:val="1B4F72"/>
          <w:sz w:val="22"/>
          <w:szCs w:val="22"/>
        </w:rPr>
        <w:t xml:space="preserve">0006  </w:t>
      </w:r>
      <w:r>
        <w:rPr>
          <w:rFonts w:ascii="Arial" w:cs="Arial" w:eastAsia="Arial" w:hAnsi="Arial"/>
          <w:sz w:val="22"/>
          <w:szCs w:val="22"/>
        </w:rPr>
        <w:t xml:space="preserve">Methodology approval shall be vested in the MCC Board or delegated committee with full accountability.</w:t>
      </w:r>
    </w:p>
    <w:p>
      <w:pPr>
        <w:spacing w:after="120"/>
      </w:pPr>
      <w:r>
        <w:rPr>
          <w:rFonts w:ascii="Arial" w:cs="Arial" w:eastAsia="Arial" w:hAnsi="Arial"/>
          <w:b/>
          <w:bCs/>
          <w:color w:val="1B4F72"/>
          <w:sz w:val="22"/>
          <w:szCs w:val="22"/>
        </w:rPr>
        <w:t xml:space="preserve">0007  </w:t>
      </w:r>
      <w:r>
        <w:rPr>
          <w:rFonts w:ascii="Arial" w:cs="Arial" w:eastAsia="Arial" w:hAnsi="Arial"/>
          <w:sz w:val="22"/>
          <w:szCs w:val="22"/>
        </w:rPr>
        <w:t xml:space="preserve">All methodologies shall integrate sustainable development assessment, double counting prevention, host country requirements, and safeguards requirements.</w:t>
      </w:r>
    </w:p>
    <w:p>
      <w:pPr>
        <w:spacing w:after="120"/>
      </w:pPr>
      <w:r>
        <w:rPr>
          <w:rFonts w:ascii="Arial" w:cs="Arial" w:eastAsia="Arial" w:hAnsi="Arial"/>
          <w:b/>
          <w:bCs/>
          <w:color w:val="1B4F72"/>
          <w:sz w:val="22"/>
          <w:szCs w:val="22"/>
        </w:rPr>
        <w:t xml:space="preserve">0008  </w:t>
      </w:r>
      <w:r>
        <w:rPr>
          <w:rFonts w:ascii="Arial" w:cs="Arial" w:eastAsia="Arial" w:hAnsi="Arial"/>
          <w:sz w:val="22"/>
          <w:szCs w:val="22"/>
        </w:rPr>
        <w:t xml:space="preserve">Methodology revisions shall follow documented procedures and shall maintain backward compatibility where feasible.</w:t>
      </w:r>
    </w:p>
    <w:p>
      <w:pPr>
        <w:spacing w:after="120"/>
      </w:pPr>
      <w:r>
        <w:rPr>
          <w:rFonts w:ascii="Arial" w:cs="Arial" w:eastAsia="Arial" w:hAnsi="Arial"/>
          <w:b/>
          <w:bCs/>
          <w:color w:val="1B4F72"/>
          <w:sz w:val="22"/>
          <w:szCs w:val="22"/>
        </w:rPr>
        <w:t xml:space="preserve">0009  </w:t>
      </w:r>
      <w:r>
        <w:rPr>
          <w:rFonts w:ascii="Arial" w:cs="Arial" w:eastAsia="Arial" w:hAnsi="Arial"/>
          <w:sz w:val="22"/>
          <w:szCs w:val="22"/>
        </w:rPr>
        <w:t xml:space="preserve">Locked methodologies (M001-M010) shall be identified in Section 9 and shall form the foundation of the MCC credit system.</w:t>
      </w:r>
    </w:p>
    <w:p>
      <w:pPr>
        <w:spacing w:after="120"/>
      </w:pPr>
      <w:r>
        <w:rPr>
          <w:rFonts w:ascii="Arial" w:cs="Arial" w:eastAsia="Arial" w:hAnsi="Arial"/>
          <w:b/>
          <w:bCs/>
          <w:color w:val="1B4F72"/>
          <w:sz w:val="22"/>
          <w:szCs w:val="22"/>
        </w:rPr>
        <w:t xml:space="preserve">0010  </w:t>
      </w:r>
      <w:r>
        <w:rPr>
          <w:rFonts w:ascii="Arial" w:cs="Arial" w:eastAsia="Arial" w:hAnsi="Arial"/>
          <w:sz w:val="22"/>
          <w:szCs w:val="22"/>
        </w:rPr>
        <w:t xml:space="preserve">This Framework shall be reviewed and updated no less than every five years or upon material scientific or policy change.</w:t>
      </w:r>
    </w:p>
    <w:p>
      <w:r>
        <w:br w:type="page"/>
      </w:r>
    </w:p>
    <w:p>
      <w:pPr>
        <w:pStyle w:val="Heading1"/>
        <w:spacing w:before="360" w:after="240"/>
      </w:pPr>
      <w:r>
        <w:rPr>
          <w:rFonts w:ascii="Arial" w:cs="Arial" w:eastAsia="Arial" w:hAnsi="Arial"/>
          <w:b/>
          <w:bCs/>
          <w:color w:val="1B4F72"/>
          <w:sz w:val="32"/>
          <w:szCs w:val="32"/>
        </w:rPr>
        <w:t xml:space="preserve">METHODOLOGY STRUCTURE</w:t>
      </w:r>
    </w:p>
    <w:p>
      <w:pPr>
        <w:spacing w:after="120"/>
      </w:pPr>
      <w:r>
        <w:rPr>
          <w:rFonts w:ascii="Arial" w:cs="Arial" w:eastAsia="Arial" w:hAnsi="Arial"/>
          <w:b/>
          <w:bCs/>
          <w:color w:val="1B4F72"/>
          <w:sz w:val="22"/>
          <w:szCs w:val="22"/>
        </w:rPr>
        <w:t xml:space="preserve">0011  </w:t>
      </w:r>
      <w:r>
        <w:rPr>
          <w:rFonts w:ascii="Arial" w:cs="Arial" w:eastAsia="Arial" w:hAnsi="Arial"/>
          <w:sz w:val="22"/>
          <w:szCs w:val="22"/>
        </w:rPr>
        <w:t xml:space="preserve">MCC methodologies shall be organized into five methodology families, each addressing distinct marine environmental activities.</w:t>
      </w:r>
    </w:p>
    <w:p>
      <w:pPr>
        <w:spacing w:after="120"/>
      </w:pPr>
      <w:r>
        <w:rPr>
          <w:rFonts w:ascii="Arial" w:cs="Arial" w:eastAsia="Arial" w:hAnsi="Arial"/>
          <w:b/>
          <w:bCs/>
          <w:color w:val="1B4F72"/>
          <w:sz w:val="22"/>
          <w:szCs w:val="22"/>
        </w:rPr>
        <w:t xml:space="preserve">0012  </w:t>
      </w:r>
      <w:r>
        <w:rPr>
          <w:rFonts w:ascii="Arial" w:cs="Arial" w:eastAsia="Arial" w:hAnsi="Arial"/>
          <w:sz w:val="22"/>
          <w:szCs w:val="22"/>
        </w:rPr>
        <w:t xml:space="preserve">MCC-F01 (Blue Carbon Sequestration) shall comprise methodologies M001, M002, M003, and M004, focusing on active marine carbon sequestration.</w:t>
      </w:r>
    </w:p>
    <w:p>
      <w:pPr>
        <w:spacing w:after="120"/>
      </w:pPr>
      <w:r>
        <w:rPr>
          <w:rFonts w:ascii="Arial" w:cs="Arial" w:eastAsia="Arial" w:hAnsi="Arial"/>
          <w:b/>
          <w:bCs/>
          <w:color w:val="1B4F72"/>
          <w:sz w:val="22"/>
          <w:szCs w:val="22"/>
        </w:rPr>
        <w:t xml:space="preserve">0013  </w:t>
      </w:r>
      <w:r>
        <w:rPr>
          <w:rFonts w:ascii="Arial" w:cs="Arial" w:eastAsia="Arial" w:hAnsi="Arial"/>
          <w:sz w:val="22"/>
          <w:szCs w:val="22"/>
        </w:rPr>
        <w:t xml:space="preserve">MCC-F02 (Blue Carbon Protection) shall comprise methodologies M005 and M006, focusing on protection of existing blue carbon stocks.</w:t>
      </w:r>
    </w:p>
    <w:p>
      <w:pPr>
        <w:spacing w:after="120"/>
      </w:pPr>
      <w:r>
        <w:rPr>
          <w:rFonts w:ascii="Arial" w:cs="Arial" w:eastAsia="Arial" w:hAnsi="Arial"/>
          <w:b/>
          <w:bCs/>
          <w:color w:val="1B4F72"/>
          <w:sz w:val="22"/>
          <w:szCs w:val="22"/>
        </w:rPr>
        <w:t xml:space="preserve">0014  </w:t>
      </w:r>
      <w:r>
        <w:rPr>
          <w:rFonts w:ascii="Arial" w:cs="Arial" w:eastAsia="Arial" w:hAnsi="Arial"/>
          <w:sz w:val="22"/>
          <w:szCs w:val="22"/>
        </w:rPr>
        <w:t xml:space="preserve">MCC-F03 (Marine Ecosystem Conservation) shall comprise methodology M007, focusing on marine biodiversity and ecosystem conservation.</w:t>
      </w:r>
    </w:p>
    <w:p>
      <w:pPr>
        <w:spacing w:after="120"/>
      </w:pPr>
      <w:r>
        <w:rPr>
          <w:rFonts w:ascii="Arial" w:cs="Arial" w:eastAsia="Arial" w:hAnsi="Arial"/>
          <w:b/>
          <w:bCs/>
          <w:color w:val="1B4F72"/>
          <w:sz w:val="22"/>
          <w:szCs w:val="22"/>
        </w:rPr>
        <w:t xml:space="preserve">0015  </w:t>
      </w:r>
      <w:r>
        <w:rPr>
          <w:rFonts w:ascii="Arial" w:cs="Arial" w:eastAsia="Arial" w:hAnsi="Arial"/>
          <w:sz w:val="22"/>
          <w:szCs w:val="22"/>
        </w:rPr>
        <w:t xml:space="preserve">MCC-F04 (Marine Pollution Prevention) shall comprise methodologies M008 and M009, focusing on marine pollution reduction.</w:t>
      </w:r>
    </w:p>
    <w:p>
      <w:pPr>
        <w:spacing w:after="120"/>
      </w:pPr>
      <w:r>
        <w:rPr>
          <w:rFonts w:ascii="Arial" w:cs="Arial" w:eastAsia="Arial" w:hAnsi="Arial"/>
          <w:b/>
          <w:bCs/>
          <w:color w:val="1B4F72"/>
          <w:sz w:val="22"/>
          <w:szCs w:val="22"/>
        </w:rPr>
        <w:t xml:space="preserve">0016  </w:t>
      </w:r>
      <w:r>
        <w:rPr>
          <w:rFonts w:ascii="Arial" w:cs="Arial" w:eastAsia="Arial" w:hAnsi="Arial"/>
          <w:sz w:val="22"/>
          <w:szCs w:val="22"/>
        </w:rPr>
        <w:t xml:space="preserve">MCC-F05 (Upstream Waste Prevention) shall comprise methodology M010, focusing on waste prevention upstream of marine environments.</w:t>
      </w:r>
    </w:p>
    <w:p>
      <w:pPr>
        <w:spacing w:after="120"/>
      </w:pPr>
      <w:r>
        <w:rPr>
          <w:rFonts w:ascii="Arial" w:cs="Arial" w:eastAsia="Arial" w:hAnsi="Arial"/>
          <w:b/>
          <w:bCs/>
          <w:color w:val="1B4F72"/>
          <w:sz w:val="22"/>
          <w:szCs w:val="22"/>
        </w:rPr>
        <w:t xml:space="preserve">0017  </w:t>
      </w:r>
      <w:r>
        <w:rPr>
          <w:rFonts w:ascii="Arial" w:cs="Arial" w:eastAsia="Arial" w:hAnsi="Arial"/>
          <w:sz w:val="22"/>
          <w:szCs w:val="22"/>
        </w:rPr>
        <w:t xml:space="preserve">Each methodology family shall be mapped to one or more MCC credit types: MCC-CC (Carbon Credit), MCC-HYB (Hybrid Ecosystem-Carbon Credit), MCC-MCU (Marine Conservation Unit).</w:t>
      </w:r>
    </w:p>
    <w:p>
      <w:pPr>
        <w:spacing w:after="120"/>
      </w:pPr>
      <w:r>
        <w:rPr>
          <w:rFonts w:ascii="Arial" w:cs="Arial" w:eastAsia="Arial" w:hAnsi="Arial"/>
          <w:b/>
          <w:bCs/>
          <w:color w:val="1B4F72"/>
          <w:sz w:val="22"/>
          <w:szCs w:val="22"/>
        </w:rPr>
        <w:t xml:space="preserve">0018  </w:t>
      </w:r>
      <w:r>
        <w:rPr>
          <w:rFonts w:ascii="Arial" w:cs="Arial" w:eastAsia="Arial" w:hAnsi="Arial"/>
          <w:sz w:val="22"/>
          <w:szCs w:val="22"/>
        </w:rPr>
        <w:t xml:space="preserve">MCC-F01 shall map to MCC-CC credit type.</w:t>
      </w:r>
    </w:p>
    <w:p>
      <w:pPr>
        <w:spacing w:after="120"/>
      </w:pPr>
      <w:r>
        <w:rPr>
          <w:rFonts w:ascii="Arial" w:cs="Arial" w:eastAsia="Arial" w:hAnsi="Arial"/>
          <w:b/>
          <w:bCs/>
          <w:color w:val="1B4F72"/>
          <w:sz w:val="22"/>
          <w:szCs w:val="22"/>
        </w:rPr>
        <w:t xml:space="preserve">0019  </w:t>
      </w:r>
      <w:r>
        <w:rPr>
          <w:rFonts w:ascii="Arial" w:cs="Arial" w:eastAsia="Arial" w:hAnsi="Arial"/>
          <w:sz w:val="22"/>
          <w:szCs w:val="22"/>
        </w:rPr>
        <w:t xml:space="preserve">MCC-F02 shall map to MCC-HYB credit type.</w:t>
      </w:r>
    </w:p>
    <w:p>
      <w:pPr>
        <w:spacing w:after="120"/>
      </w:pPr>
      <w:r>
        <w:rPr>
          <w:rFonts w:ascii="Arial" w:cs="Arial" w:eastAsia="Arial" w:hAnsi="Arial"/>
          <w:b/>
          <w:bCs/>
          <w:color w:val="1B4F72"/>
          <w:sz w:val="22"/>
          <w:szCs w:val="22"/>
        </w:rPr>
        <w:t xml:space="preserve">0020  </w:t>
      </w:r>
      <w:r>
        <w:rPr>
          <w:rFonts w:ascii="Arial" w:cs="Arial" w:eastAsia="Arial" w:hAnsi="Arial"/>
          <w:sz w:val="22"/>
          <w:szCs w:val="22"/>
        </w:rPr>
        <w:t xml:space="preserve">MCC-F03 shall map to MCC-HYB credit type.</w:t>
      </w:r>
    </w:p>
    <w:p>
      <w:pPr>
        <w:spacing w:after="120"/>
      </w:pPr>
      <w:r>
        <w:rPr>
          <w:rFonts w:ascii="Arial" w:cs="Arial" w:eastAsia="Arial" w:hAnsi="Arial"/>
          <w:b/>
          <w:bCs/>
          <w:color w:val="1B4F72"/>
          <w:sz w:val="22"/>
          <w:szCs w:val="22"/>
        </w:rPr>
        <w:t xml:space="preserve">0021  </w:t>
      </w:r>
      <w:r>
        <w:rPr>
          <w:rFonts w:ascii="Arial" w:cs="Arial" w:eastAsia="Arial" w:hAnsi="Arial"/>
          <w:sz w:val="22"/>
          <w:szCs w:val="22"/>
        </w:rPr>
        <w:t xml:space="preserve">MCC-F04 shall map to MCC-MCU credit type.</w:t>
      </w:r>
    </w:p>
    <w:p>
      <w:pPr>
        <w:spacing w:after="120"/>
      </w:pPr>
      <w:r>
        <w:rPr>
          <w:rFonts w:ascii="Arial" w:cs="Arial" w:eastAsia="Arial" w:hAnsi="Arial"/>
          <w:b/>
          <w:bCs/>
          <w:color w:val="1B4F72"/>
          <w:sz w:val="22"/>
          <w:szCs w:val="22"/>
        </w:rPr>
        <w:t xml:space="preserve">0022  </w:t>
      </w:r>
      <w:r>
        <w:rPr>
          <w:rFonts w:ascii="Arial" w:cs="Arial" w:eastAsia="Arial" w:hAnsi="Arial"/>
          <w:sz w:val="22"/>
          <w:szCs w:val="22"/>
        </w:rPr>
        <w:t xml:space="preserve">MCC-F05 shall map to MCC-MCU credit type.</w:t>
      </w:r>
    </w:p>
    <w:p>
      <w:pPr>
        <w:spacing w:after="120"/>
      </w:pPr>
      <w:r>
        <w:rPr>
          <w:rFonts w:ascii="Arial" w:cs="Arial" w:eastAsia="Arial" w:hAnsi="Arial"/>
          <w:b/>
          <w:bCs/>
          <w:color w:val="1B4F72"/>
          <w:sz w:val="22"/>
          <w:szCs w:val="22"/>
        </w:rPr>
        <w:t xml:space="preserve">0023  </w:t>
      </w:r>
      <w:r>
        <w:rPr>
          <w:rFonts w:ascii="Arial" w:cs="Arial" w:eastAsia="Arial" w:hAnsi="Arial"/>
          <w:sz w:val="22"/>
          <w:szCs w:val="22"/>
        </w:rPr>
        <w:t xml:space="preserve">All methodologies shall be structured using the Methodology Module System (MOD-01 through MOD-10).</w:t>
      </w:r>
    </w:p>
    <w:p>
      <w:pPr>
        <w:spacing w:after="120"/>
      </w:pPr>
      <w:r>
        <w:rPr>
          <w:rFonts w:ascii="Arial" w:cs="Arial" w:eastAsia="Arial" w:hAnsi="Arial"/>
          <w:b/>
          <w:bCs/>
          <w:color w:val="1B4F72"/>
          <w:sz w:val="22"/>
          <w:szCs w:val="22"/>
        </w:rPr>
        <w:t xml:space="preserve">0024  </w:t>
      </w:r>
      <w:r>
        <w:rPr>
          <w:rFonts w:ascii="Arial" w:cs="Arial" w:eastAsia="Arial" w:hAnsi="Arial"/>
          <w:sz w:val="22"/>
          <w:szCs w:val="22"/>
        </w:rPr>
        <w:t xml:space="preserve">MOD-01 (Applicability) shall define scope, geographic applicability, technology scope, and eligibility criteria.</w:t>
      </w:r>
    </w:p>
    <w:p>
      <w:pPr>
        <w:spacing w:after="120"/>
      </w:pPr>
      <w:r>
        <w:rPr>
          <w:rFonts w:ascii="Arial" w:cs="Arial" w:eastAsia="Arial" w:hAnsi="Arial"/>
          <w:b/>
          <w:bCs/>
          <w:color w:val="1B4F72"/>
          <w:sz w:val="22"/>
          <w:szCs w:val="22"/>
        </w:rPr>
        <w:t xml:space="preserve">0025  </w:t>
      </w:r>
      <w:r>
        <w:rPr>
          <w:rFonts w:ascii="Arial" w:cs="Arial" w:eastAsia="Arial" w:hAnsi="Arial"/>
          <w:sz w:val="22"/>
          <w:szCs w:val="22"/>
        </w:rPr>
        <w:t xml:space="preserve">MOD-02 (Baseline and Additionality) shall define the baseline scenario and shall demonstrate additionality of credit issuance.</w:t>
      </w:r>
    </w:p>
    <w:p>
      <w:pPr>
        <w:spacing w:after="120"/>
      </w:pPr>
      <w:r>
        <w:rPr>
          <w:rFonts w:ascii="Arial" w:cs="Arial" w:eastAsia="Arial" w:hAnsi="Arial"/>
          <w:b/>
          <w:bCs/>
          <w:color w:val="1B4F72"/>
          <w:sz w:val="22"/>
          <w:szCs w:val="22"/>
        </w:rPr>
        <w:t xml:space="preserve">0026  </w:t>
      </w:r>
      <w:r>
        <w:rPr>
          <w:rFonts w:ascii="Arial" w:cs="Arial" w:eastAsia="Arial" w:hAnsi="Arial"/>
          <w:sz w:val="22"/>
          <w:szCs w:val="22"/>
        </w:rPr>
        <w:t xml:space="preserve">MOD-03 (Quantification) shall define calculation methods, data sources, and quality requirements.</w:t>
      </w:r>
    </w:p>
    <w:p>
      <w:pPr>
        <w:spacing w:after="120"/>
      </w:pPr>
      <w:r>
        <w:rPr>
          <w:rFonts w:ascii="Arial" w:cs="Arial" w:eastAsia="Arial" w:hAnsi="Arial"/>
          <w:b/>
          <w:bCs/>
          <w:color w:val="1B4F72"/>
          <w:sz w:val="22"/>
          <w:szCs w:val="22"/>
        </w:rPr>
        <w:t xml:space="preserve">0027  </w:t>
      </w:r>
      <w:r>
        <w:rPr>
          <w:rFonts w:ascii="Arial" w:cs="Arial" w:eastAsia="Arial" w:hAnsi="Arial"/>
          <w:sz w:val="22"/>
          <w:szCs w:val="22"/>
        </w:rPr>
        <w:t xml:space="preserve">MOD-04 (Monitoring) shall specify monitoring frequency, parameters, methodologies, and quality assurance requirements.</w:t>
      </w:r>
    </w:p>
    <w:p>
      <w:pPr>
        <w:spacing w:after="120"/>
      </w:pPr>
      <w:r>
        <w:rPr>
          <w:rFonts w:ascii="Arial" w:cs="Arial" w:eastAsia="Arial" w:hAnsi="Arial"/>
          <w:b/>
          <w:bCs/>
          <w:color w:val="1B4F72"/>
          <w:sz w:val="22"/>
          <w:szCs w:val="22"/>
        </w:rPr>
        <w:t xml:space="preserve">0028  </w:t>
      </w:r>
      <w:r>
        <w:rPr>
          <w:rFonts w:ascii="Arial" w:cs="Arial" w:eastAsia="Arial" w:hAnsi="Arial"/>
          <w:sz w:val="22"/>
          <w:szCs w:val="22"/>
        </w:rPr>
        <w:t xml:space="preserve">MOD-05 (Reporting) shall define reporting formats, timing, and stakeholder communication requirements.</w:t>
      </w:r>
    </w:p>
    <w:p>
      <w:pPr>
        <w:spacing w:after="120"/>
      </w:pPr>
      <w:r>
        <w:rPr>
          <w:rFonts w:ascii="Arial" w:cs="Arial" w:eastAsia="Arial" w:hAnsi="Arial"/>
          <w:b/>
          <w:bCs/>
          <w:color w:val="1B4F72"/>
          <w:sz w:val="22"/>
          <w:szCs w:val="22"/>
        </w:rPr>
        <w:t xml:space="preserve">0029  </w:t>
      </w:r>
      <w:r>
        <w:rPr>
          <w:rFonts w:ascii="Arial" w:cs="Arial" w:eastAsia="Arial" w:hAnsi="Arial"/>
          <w:sz w:val="22"/>
          <w:szCs w:val="22"/>
        </w:rPr>
        <w:t xml:space="preserve">MOD-06 (Validation) shall define the validation scope, methodology, and third-party reviewer qualifications.</w:t>
      </w:r>
    </w:p>
    <w:p>
      <w:pPr>
        <w:spacing w:after="120"/>
      </w:pPr>
      <w:r>
        <w:rPr>
          <w:rFonts w:ascii="Arial" w:cs="Arial" w:eastAsia="Arial" w:hAnsi="Arial"/>
          <w:b/>
          <w:bCs/>
          <w:color w:val="1B4F72"/>
          <w:sz w:val="22"/>
          <w:szCs w:val="22"/>
        </w:rPr>
        <w:t xml:space="preserve">0030  </w:t>
      </w:r>
      <w:r>
        <w:rPr>
          <w:rFonts w:ascii="Arial" w:cs="Arial" w:eastAsia="Arial" w:hAnsi="Arial"/>
          <w:sz w:val="22"/>
          <w:szCs w:val="22"/>
        </w:rPr>
        <w:t xml:space="preserve">MOD-07 (Verification) shall define verification frequency, scope, and third-party verifier requirements.</w:t>
      </w:r>
    </w:p>
    <w:p>
      <w:pPr>
        <w:spacing w:after="120"/>
      </w:pPr>
      <w:r>
        <w:rPr>
          <w:rFonts w:ascii="Arial" w:cs="Arial" w:eastAsia="Arial" w:hAnsi="Arial"/>
          <w:b/>
          <w:bCs/>
          <w:color w:val="1B4F72"/>
          <w:sz w:val="22"/>
          <w:szCs w:val="22"/>
        </w:rPr>
        <w:t xml:space="preserve">0031  </w:t>
      </w:r>
      <w:r>
        <w:rPr>
          <w:rFonts w:ascii="Arial" w:cs="Arial" w:eastAsia="Arial" w:hAnsi="Arial"/>
          <w:sz w:val="22"/>
          <w:szCs w:val="22"/>
        </w:rPr>
        <w:t xml:space="preserve">MOD-08 (Permanence and Risk Management) shall address impermanence risks and mitigation strategies.</w:t>
      </w:r>
    </w:p>
    <w:p>
      <w:pPr>
        <w:spacing w:after="120"/>
      </w:pPr>
      <w:r>
        <w:rPr>
          <w:rFonts w:ascii="Arial" w:cs="Arial" w:eastAsia="Arial" w:hAnsi="Arial"/>
          <w:b/>
          <w:bCs/>
          <w:color w:val="1B4F72"/>
          <w:sz w:val="22"/>
          <w:szCs w:val="22"/>
        </w:rPr>
        <w:t xml:space="preserve">0031.1  Permanence horizons shall be family-differentiated: MCC-F01 (Blue Carbon — MCC-CC removals) shall apply a 100-year permanence horizon with a 30-year post-crediting monitoring period; MCC-F02 (Restoration — MCC-HYB) shall apply a 30-year permanence horizon with a 20-year post-crediting monitoring period; MCC-F05 (MPA Management — MCC-HYB) shall apply a 30-year permanence horizon with a 10-year post-crediting monitoring period.</w:t>
      </w:r>
    </w:p>
    <w:p>
      <w:pPr>
        <w:spacing w:after="120"/>
      </w:pPr>
      <w:r>
        <w:rPr>
          <w:rFonts w:ascii="Arial" w:cs="Arial" w:eastAsia="Arial" w:hAnsi="Arial"/>
          <w:b/>
          <w:bCs/>
          <w:color w:val="1B4F72"/>
          <w:sz w:val="22"/>
          <w:szCs w:val="22"/>
        </w:rPr>
        <w:t xml:space="preserve">0031.2  MCC-F03 (Fisheries — MCC-MCU avoided emissions) and MCC-F04 (Marine Pollution Prevention — MCC-MCU avoided emissions) shall not apply a permanence horizon, as avoided fuel/methane emissions (F03) and avoided decomposition emissions (F04) are flow measures and not stored carbon.</w:t>
      </w:r>
    </w:p>
    <w:p>
      <w:pPr>
        <w:spacing w:after="120"/>
      </w:pPr>
      <w:r>
        <w:rPr>
          <w:rFonts w:ascii="Arial" w:cs="Arial" w:eastAsia="Arial" w:hAnsi="Arial"/>
          <w:b/>
          <w:bCs/>
          <w:color w:val="1B4F72"/>
          <w:sz w:val="22"/>
          <w:szCs w:val="22"/>
        </w:rPr>
        <w:t xml:space="preserve">0031.3  The F01 100-year permanence horizon shall align with the EU Carbon Removal Certification Framework (CRCF) "permanent storage" category and Verra VM0033. The F01 contractual obligation shall include a 30-year binding commitment plus landowner notice on intent to convert.</w:t>
      </w:r>
    </w:p>
    <w:p>
      <w:pPr>
        <w:spacing w:after="120"/>
      </w:pPr>
      <w:r>
        <w:rPr>
          <w:rFonts w:ascii="Arial" w:cs="Arial" w:eastAsia="Arial" w:hAnsi="Arial"/>
          <w:b/>
          <w:bCs/>
          <w:color w:val="1B4F72"/>
          <w:sz w:val="22"/>
          <w:szCs w:val="22"/>
        </w:rPr>
        <w:t xml:space="preserve">0032  </w:t>
      </w:r>
      <w:r>
        <w:rPr>
          <w:rFonts w:ascii="Arial" w:cs="Arial" w:eastAsia="Arial" w:hAnsi="Arial"/>
          <w:sz w:val="22"/>
          <w:szCs w:val="22"/>
        </w:rPr>
        <w:t xml:space="preserve">MOD-09 (Safeguards and Co-Benefits) shall define environmental and social safeguards and co-benefit assessment requirements.</w:t>
      </w:r>
    </w:p>
    <w:p>
      <w:pPr>
        <w:spacing w:after="120"/>
      </w:pPr>
      <w:r>
        <w:rPr>
          <w:rFonts w:ascii="Arial" w:cs="Arial" w:eastAsia="Arial" w:hAnsi="Arial"/>
          <w:b/>
          <w:bCs/>
          <w:color w:val="1B4F72"/>
          <w:sz w:val="22"/>
          <w:szCs w:val="22"/>
        </w:rPr>
        <w:t xml:space="preserve">0033  </w:t>
      </w:r>
      <w:r>
        <w:rPr>
          <w:rFonts w:ascii="Arial" w:cs="Arial" w:eastAsia="Arial" w:hAnsi="Arial"/>
          <w:sz w:val="22"/>
          <w:szCs w:val="22"/>
        </w:rPr>
        <w:t xml:space="preserve">MOD-10 (Registry and Claims) shall define credit serialisation, claim statement requirements, and public transparency.</w:t>
      </w:r>
    </w:p>
    <w:p>
      <w:pPr>
        <w:spacing w:after="120"/>
      </w:pPr>
      <w:r>
        <w:rPr>
          <w:rFonts w:ascii="Arial" w:cs="Arial" w:eastAsia="Arial" w:hAnsi="Arial"/>
          <w:b/>
          <w:bCs/>
          <w:color w:val="1B4F72"/>
          <w:sz w:val="22"/>
          <w:szCs w:val="22"/>
        </w:rPr>
        <w:t xml:space="preserve">0034  </w:t>
      </w:r>
      <w:r>
        <w:rPr>
          <w:rFonts w:ascii="Arial" w:cs="Arial" w:eastAsia="Arial" w:hAnsi="Arial"/>
          <w:sz w:val="22"/>
          <w:szCs w:val="22"/>
        </w:rPr>
        <w:t xml:space="preserve">Each locked methodology (M001-M010) shall include all ten modules in a complete, integrated package.</w:t>
      </w:r>
    </w:p>
    <w:p>
      <w:pPr>
        <w:spacing w:after="120"/>
      </w:pPr>
      <w:r>
        <w:rPr>
          <w:rFonts w:ascii="Arial" w:cs="Arial" w:eastAsia="Arial" w:hAnsi="Arial"/>
          <w:b/>
          <w:bCs/>
          <w:color w:val="1B4F72"/>
          <w:sz w:val="22"/>
          <w:szCs w:val="22"/>
        </w:rPr>
        <w:t xml:space="preserve">0035  </w:t>
      </w:r>
      <w:r>
        <w:rPr>
          <w:rFonts w:ascii="Arial" w:cs="Arial" w:eastAsia="Arial" w:hAnsi="Arial"/>
          <w:sz w:val="22"/>
          <w:szCs w:val="22"/>
        </w:rPr>
        <w:t xml:space="preserve">Methodology families may share common module approaches where scientifically appropriate, subject to family-specific tailoring.</w:t>
      </w:r>
    </w:p>
    <w:p>
      <w:pPr>
        <w:spacing w:after="120"/>
      </w:pPr>
      <w:r>
        <w:rPr>
          <w:rFonts w:ascii="Arial" w:cs="Arial" w:eastAsia="Arial" w:hAnsi="Arial"/>
          <w:b/>
          <w:bCs/>
          <w:color w:val="1B4F72"/>
          <w:sz w:val="22"/>
          <w:szCs w:val="22"/>
        </w:rPr>
        <w:t xml:space="preserve">0036  </w:t>
      </w:r>
      <w:r>
        <w:rPr>
          <w:rFonts w:ascii="Arial" w:cs="Arial" w:eastAsia="Arial" w:hAnsi="Arial"/>
          <w:sz w:val="22"/>
          <w:szCs w:val="22"/>
        </w:rPr>
        <w:t xml:space="preserve">The Module System shall enable consistent application across different methodologies while preserving methodology-specific requirements.</w:t>
      </w:r>
    </w:p>
    <w:p>
      <w:pPr>
        <w:spacing w:after="120"/>
      </w:pPr>
      <w:r>
        <w:rPr>
          <w:rFonts w:ascii="Arial" w:cs="Arial" w:eastAsia="Arial" w:hAnsi="Arial"/>
          <w:b/>
          <w:bCs/>
          <w:color w:val="1B4F72"/>
          <w:sz w:val="22"/>
          <w:szCs w:val="22"/>
        </w:rPr>
        <w:t xml:space="preserve">0037  </w:t>
      </w:r>
      <w:r>
        <w:rPr>
          <w:rFonts w:ascii="Arial" w:cs="Arial" w:eastAsia="Arial" w:hAnsi="Arial"/>
          <w:sz w:val="22"/>
          <w:szCs w:val="22"/>
        </w:rPr>
        <w:t xml:space="preserve">All modules shall be documented in plain language accessible to stakeholders and project developers.</w:t>
      </w:r>
    </w:p>
    <w:p>
      <w:pPr>
        <w:spacing w:after="120"/>
      </w:pPr>
      <w:r>
        <w:rPr>
          <w:rFonts w:ascii="Arial" w:cs="Arial" w:eastAsia="Arial" w:hAnsi="Arial"/>
          <w:b/>
          <w:bCs/>
          <w:color w:val="1B4F72"/>
          <w:sz w:val="22"/>
          <w:szCs w:val="22"/>
        </w:rPr>
        <w:t xml:space="preserve">0038  </w:t>
      </w:r>
      <w:r>
        <w:rPr>
          <w:rFonts w:ascii="Arial" w:cs="Arial" w:eastAsia="Arial" w:hAnsi="Arial"/>
          <w:sz w:val="22"/>
          <w:szCs w:val="22"/>
        </w:rPr>
        <w:t xml:space="preserve">Technical annexes shall provide detailed calculation procedures, reference data, and worked examples.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Methodology Family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Scope</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Methodologies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Credit Type</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Marine Focus</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Blue Carbon Sequestration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M001–M004</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MCC-CC</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 sequestration</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MCC-F02</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Blue Carbon Protection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M005–M006</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MCC-HYB</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Stock protection</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MCC-F03</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Marine Ecosystem Conservation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M007</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MCC-HYB</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Biodiversity conservation</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MCC-F04</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Marine Pollution Prevention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M008–M009</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MCC-MCU</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Pollution reduction</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Upstream Waste Prevention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M010</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MCC-MCU</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Waste diversion</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Module</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Function</w:t>
            </w:r>
          </w:p>
        </w:tc>
        <w:tc>
          <w:tcPr>
            <w:tcW w:type="dxa" w:w="312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Key Outputs</w:t>
            </w:r>
          </w:p>
        </w:tc>
      </w:tr>
      <w:tr>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Applicability</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Scope, eligibility, geographic/technology boundaries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MOD-02</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Baseline &amp; Additionality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Baseline scenario, additionality proof</w:t>
            </w:r>
          </w:p>
        </w:tc>
      </w:tr>
      <w:tr>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MOD-03</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Quantification</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Calculation formulae, data requirements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MOD-04</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Monitoring</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Monitoring plan, QA/QC procedures</w:t>
            </w:r>
          </w:p>
        </w:tc>
      </w:tr>
      <w:tr>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MOD-05</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Reporting</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Reporting formats, timelines, transparency</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MOD-06</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Validation</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Validation methodology, verifier qualifications</w:t>
            </w:r>
          </w:p>
        </w:tc>
      </w:tr>
      <w:tr>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MOD-07</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Verification</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Verification cycle, independent review</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MOD-08</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Permanence &amp; Risk</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Risk assessment, mitigation strategies</w:t>
            </w:r>
          </w:p>
        </w:tc>
      </w:tr>
      <w:tr>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MOD-09</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Safeguards &amp; Co-Benefits</w:t>
            </w:r>
          </w:p>
        </w:tc>
        <w:tc>
          <w:tcPr>
            <w:tcW w:type="dxa" w:w="312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E&amp;S safeguards, SD contribution assessment</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MOD-10</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Registry &amp; Claims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Credit serialisation, public claims</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METHODOLOGY APPROVAL</w:t>
      </w:r>
    </w:p>
    <w:p>
      <w:pPr>
        <w:spacing w:after="120"/>
      </w:pPr>
      <w:r>
        <w:rPr>
          <w:rFonts w:ascii="Arial" w:cs="Arial" w:eastAsia="Arial" w:hAnsi="Arial"/>
          <w:b/>
          <w:bCs/>
          <w:color w:val="1B4F72"/>
          <w:sz w:val="22"/>
          <w:szCs w:val="22"/>
        </w:rPr>
        <w:t xml:space="preserve">0039  </w:t>
      </w:r>
      <w:r>
        <w:rPr>
          <w:rFonts w:ascii="Arial" w:cs="Arial" w:eastAsia="Arial" w:hAnsi="Arial"/>
          <w:sz w:val="22"/>
          <w:szCs w:val="22"/>
        </w:rPr>
        <w:t xml:space="preserve">All new methodologies shall be subject to formal approval by the MCC Board or delegated Methodology Review Committee.</w:t>
      </w:r>
    </w:p>
    <w:p>
      <w:pPr>
        <w:spacing w:after="120"/>
      </w:pPr>
      <w:r>
        <w:rPr>
          <w:rFonts w:ascii="Arial" w:cs="Arial" w:eastAsia="Arial" w:hAnsi="Arial"/>
          <w:b/>
          <w:bCs/>
          <w:color w:val="1B4F72"/>
          <w:sz w:val="22"/>
          <w:szCs w:val="22"/>
        </w:rPr>
        <w:t xml:space="preserve">0040  </w:t>
      </w:r>
      <w:r>
        <w:rPr>
          <w:rFonts w:ascii="Arial" w:cs="Arial" w:eastAsia="Arial" w:hAnsi="Arial"/>
          <w:sz w:val="22"/>
          <w:szCs w:val="22"/>
        </w:rPr>
        <w:t xml:space="preserve">Methodology approval shall be preceded by at least one round of external peer review by qualified independent scientists.</w:t>
      </w:r>
    </w:p>
    <w:p>
      <w:pPr>
        <w:spacing w:after="120"/>
      </w:pPr>
      <w:r>
        <w:rPr>
          <w:rFonts w:ascii="Arial" w:cs="Arial" w:eastAsia="Arial" w:hAnsi="Arial"/>
          <w:b/>
          <w:bCs/>
          <w:color w:val="1B4F72"/>
          <w:sz w:val="22"/>
          <w:szCs w:val="22"/>
        </w:rPr>
        <w:t xml:space="preserve">0041  </w:t>
      </w:r>
      <w:r>
        <w:rPr>
          <w:rFonts w:ascii="Arial" w:cs="Arial" w:eastAsia="Arial" w:hAnsi="Arial"/>
          <w:sz w:val="22"/>
          <w:szCs w:val="22"/>
        </w:rPr>
        <w:t xml:space="preserve">Peer review shall assess scientific rigor, marine environmental relevance, baseline and additionality logic, quantification validity, and consistency with MCC standards.</w:t>
      </w:r>
    </w:p>
    <w:p>
      <w:pPr>
        <w:spacing w:after="120"/>
      </w:pPr>
      <w:r>
        <w:rPr>
          <w:rFonts w:ascii="Arial" w:cs="Arial" w:eastAsia="Arial" w:hAnsi="Arial"/>
          <w:b/>
          <w:bCs/>
          <w:color w:val="1B4F72"/>
          <w:sz w:val="22"/>
          <w:szCs w:val="22"/>
        </w:rPr>
        <w:t xml:space="preserve">0042  </w:t>
      </w:r>
      <w:r>
        <w:rPr>
          <w:rFonts w:ascii="Arial" w:cs="Arial" w:eastAsia="Arial" w:hAnsi="Arial"/>
          <w:sz w:val="22"/>
          <w:szCs w:val="22"/>
        </w:rPr>
        <w:t xml:space="preserve">Following peer review, each methodology shall be publicly available for stakeholder consultation for a minimum of 30 days.</w:t>
      </w:r>
    </w:p>
    <w:p>
      <w:pPr>
        <w:spacing w:after="120"/>
      </w:pPr>
      <w:r>
        <w:rPr>
          <w:rFonts w:ascii="Arial" w:cs="Arial" w:eastAsia="Arial" w:hAnsi="Arial"/>
          <w:b/>
          <w:bCs/>
          <w:color w:val="1B4F72"/>
          <w:sz w:val="22"/>
          <w:szCs w:val="22"/>
        </w:rPr>
        <w:t xml:space="preserve">0043  </w:t>
      </w:r>
      <w:r>
        <w:rPr>
          <w:rFonts w:ascii="Arial" w:cs="Arial" w:eastAsia="Arial" w:hAnsi="Arial"/>
          <w:sz w:val="22"/>
          <w:szCs w:val="22"/>
        </w:rPr>
        <w:t xml:space="preserve">Stakeholder consultation shall include project developers, VVBs, host country representatives, environmental organisations, and civil society.</w:t>
      </w:r>
    </w:p>
    <w:p>
      <w:pPr>
        <w:spacing w:after="120"/>
      </w:pPr>
      <w:r>
        <w:rPr>
          <w:rFonts w:ascii="Arial" w:cs="Arial" w:eastAsia="Arial" w:hAnsi="Arial"/>
          <w:b/>
          <w:bCs/>
          <w:color w:val="1B4F72"/>
          <w:sz w:val="22"/>
          <w:szCs w:val="22"/>
        </w:rPr>
        <w:t xml:space="preserve">0044  </w:t>
      </w:r>
      <w:r>
        <w:rPr>
          <w:rFonts w:ascii="Arial" w:cs="Arial" w:eastAsia="Arial" w:hAnsi="Arial"/>
          <w:sz w:val="22"/>
          <w:szCs w:val="22"/>
        </w:rPr>
        <w:t xml:space="preserve">The proponent shall provide written responses to all material public comments received during consultation.</w:t>
      </w:r>
    </w:p>
    <w:p>
      <w:pPr>
        <w:spacing w:after="120"/>
      </w:pPr>
      <w:r>
        <w:rPr>
          <w:rFonts w:ascii="Arial" w:cs="Arial" w:eastAsia="Arial" w:hAnsi="Arial"/>
          <w:b/>
          <w:bCs/>
          <w:color w:val="1B4F72"/>
          <w:sz w:val="22"/>
          <w:szCs w:val="22"/>
        </w:rPr>
        <w:t xml:space="preserve">0045  </w:t>
      </w:r>
      <w:r>
        <w:rPr>
          <w:rFonts w:ascii="Arial" w:cs="Arial" w:eastAsia="Arial" w:hAnsi="Arial"/>
          <w:sz w:val="22"/>
          <w:szCs w:val="22"/>
        </w:rPr>
        <w:t xml:space="preserve">The approval committee shall consider peer review feedback, stakeholder comments, and proponent responses before final approval.</w:t>
      </w:r>
    </w:p>
    <w:p>
      <w:pPr>
        <w:spacing w:after="120"/>
      </w:pPr>
      <w:r>
        <w:rPr>
          <w:rFonts w:ascii="Arial" w:cs="Arial" w:eastAsia="Arial" w:hAnsi="Arial"/>
          <w:b/>
          <w:bCs/>
          <w:color w:val="1B4F72"/>
          <w:sz w:val="22"/>
          <w:szCs w:val="22"/>
        </w:rPr>
        <w:t xml:space="preserve">0046  </w:t>
      </w:r>
      <w:r>
        <w:rPr>
          <w:rFonts w:ascii="Arial" w:cs="Arial" w:eastAsia="Arial" w:hAnsi="Arial"/>
          <w:sz w:val="22"/>
          <w:szCs w:val="22"/>
        </w:rPr>
        <w:t xml:space="preserve">Approval shall require documented evidence that the methodology is scientifically sound, operationally feasible, and aligned with MCC standards.</w:t>
      </w:r>
    </w:p>
    <w:p>
      <w:pPr>
        <w:spacing w:after="120"/>
      </w:pPr>
      <w:r>
        <w:rPr>
          <w:rFonts w:ascii="Arial" w:cs="Arial" w:eastAsia="Arial" w:hAnsi="Arial"/>
          <w:b/>
          <w:bCs/>
          <w:color w:val="1B4F72"/>
          <w:sz w:val="22"/>
          <w:szCs w:val="22"/>
        </w:rPr>
        <w:t xml:space="preserve">0047  </w:t>
      </w:r>
      <w:r>
        <w:rPr>
          <w:rFonts w:ascii="Arial" w:cs="Arial" w:eastAsia="Arial" w:hAnsi="Arial"/>
          <w:sz w:val="22"/>
          <w:szCs w:val="22"/>
        </w:rPr>
        <w:t xml:space="preserve">Approval decisions shall be publicly documented with rationale.</w:t>
      </w:r>
    </w:p>
    <w:p>
      <w:pPr>
        <w:spacing w:after="120"/>
      </w:pPr>
      <w:r>
        <w:rPr>
          <w:rFonts w:ascii="Arial" w:cs="Arial" w:eastAsia="Arial" w:hAnsi="Arial"/>
          <w:b/>
          <w:bCs/>
          <w:color w:val="1B4F72"/>
          <w:sz w:val="22"/>
          <w:szCs w:val="22"/>
        </w:rPr>
        <w:t xml:space="preserve">0048  </w:t>
      </w:r>
      <w:r>
        <w:rPr>
          <w:rFonts w:ascii="Arial" w:cs="Arial" w:eastAsia="Arial" w:hAnsi="Arial"/>
          <w:sz w:val="22"/>
          <w:szCs w:val="22"/>
        </w:rPr>
        <w:t xml:space="preserve">Methodologies shall not be approved unless they demonstrate compliance with all applicable requirements of this Framework, including safeguards (Section 7), sustainable development integration (Section 4), double counting prevention (Section 5), and host country requirements (Section 6).</w:t>
      </w:r>
    </w:p>
    <w:p>
      <w:pPr>
        <w:spacing w:after="120"/>
      </w:pPr>
      <w:r>
        <w:rPr>
          <w:rFonts w:ascii="Arial" w:cs="Arial" w:eastAsia="Arial" w:hAnsi="Arial"/>
          <w:b/>
          <w:bCs/>
          <w:color w:val="1B4F72"/>
          <w:sz w:val="22"/>
          <w:szCs w:val="22"/>
        </w:rPr>
        <w:t xml:space="preserve">0049  </w:t>
      </w:r>
      <w:r>
        <w:rPr>
          <w:rFonts w:ascii="Arial" w:cs="Arial" w:eastAsia="Arial" w:hAnsi="Arial"/>
          <w:sz w:val="22"/>
          <w:szCs w:val="22"/>
        </w:rPr>
        <w:t xml:space="preserve">Each approved methodology shall be assigned an official code (M001 through M010 for locked methodologies) and shall be registered in the MCC Methodology Registry.</w:t>
      </w:r>
    </w:p>
    <w:p>
      <w:pPr>
        <w:spacing w:after="120"/>
      </w:pPr>
      <w:r>
        <w:rPr>
          <w:rFonts w:ascii="Arial" w:cs="Arial" w:eastAsia="Arial" w:hAnsi="Arial"/>
          <w:b/>
          <w:bCs/>
          <w:color w:val="1B4F72"/>
          <w:sz w:val="22"/>
          <w:szCs w:val="22"/>
        </w:rPr>
        <w:t xml:space="preserve">0050  </w:t>
      </w:r>
      <w:r>
        <w:rPr>
          <w:rFonts w:ascii="Arial" w:cs="Arial" w:eastAsia="Arial" w:hAnsi="Arial"/>
          <w:sz w:val="22"/>
          <w:szCs w:val="22"/>
        </w:rPr>
        <w:t xml:space="preserve">Upon approval, a methodology shall be assigned a status of either 'Active' (available for new projects) or 'Conditional' (available under specified conditions).</w:t>
      </w:r>
    </w:p>
    <w:p>
      <w:pPr>
        <w:spacing w:after="120"/>
      </w:pPr>
      <w:r>
        <w:rPr>
          <w:rFonts w:ascii="Arial" w:cs="Arial" w:eastAsia="Arial" w:hAnsi="Arial"/>
          <w:b/>
          <w:bCs/>
          <w:color w:val="1B4F72"/>
          <w:sz w:val="22"/>
          <w:szCs w:val="22"/>
        </w:rPr>
        <w:t xml:space="preserve">0051  </w:t>
      </w:r>
      <w:r>
        <w:rPr>
          <w:rFonts w:ascii="Arial" w:cs="Arial" w:eastAsia="Arial" w:hAnsi="Arial"/>
          <w:sz w:val="22"/>
          <w:szCs w:val="22"/>
        </w:rPr>
        <w:t xml:space="preserve">Conditional status shall be assigned where a methodology is operationally sound but requires supplementary requirements or oversight.</w:t>
      </w:r>
    </w:p>
    <w:p>
      <w:pPr>
        <w:spacing w:after="120"/>
      </w:pPr>
      <w:r>
        <w:rPr>
          <w:rFonts w:ascii="Arial" w:cs="Arial" w:eastAsia="Arial" w:hAnsi="Arial"/>
          <w:b/>
          <w:bCs/>
          <w:color w:val="1B4F72"/>
          <w:sz w:val="22"/>
          <w:szCs w:val="22"/>
        </w:rPr>
        <w:t xml:space="preserve">0052  </w:t>
      </w:r>
      <w:r>
        <w:rPr>
          <w:rFonts w:ascii="Arial" w:cs="Arial" w:eastAsia="Arial" w:hAnsi="Arial"/>
          <w:sz w:val="22"/>
          <w:szCs w:val="22"/>
        </w:rPr>
        <w:t xml:space="preserve">All approved methodologies shall be versioned, and version history shall be publicly maintained.</w:t>
      </w:r>
    </w:p>
    <w:p>
      <w:pPr>
        <w:spacing w:after="120"/>
      </w:pPr>
      <w:r>
        <w:rPr>
          <w:rFonts w:ascii="Arial" w:cs="Arial" w:eastAsia="Arial" w:hAnsi="Arial"/>
          <w:b/>
          <w:bCs/>
          <w:color w:val="1B4F72"/>
          <w:sz w:val="22"/>
          <w:szCs w:val="22"/>
        </w:rPr>
        <w:t xml:space="preserve">0053  </w:t>
      </w:r>
      <w:r>
        <w:rPr>
          <w:rFonts w:ascii="Arial" w:cs="Arial" w:eastAsia="Arial" w:hAnsi="Arial"/>
          <w:sz w:val="22"/>
          <w:szCs w:val="22"/>
        </w:rPr>
        <w:t xml:space="preserve">Methodology approval shall not confer any claim regarding external programme eligibility or regulatory status; all external programme claims shall be subject to Section 6 of MCC-001.</w:t>
      </w:r>
    </w:p>
    <w:p>
      <w:r>
        <w:br w:type="page"/>
      </w:r>
    </w:p>
    <w:p>
      <w:pPr>
        <w:pStyle w:val="Heading1"/>
        <w:spacing w:before="360" w:after="240"/>
      </w:pPr>
      <w:r>
        <w:rPr>
          <w:rFonts w:ascii="Arial" w:cs="Arial" w:eastAsia="Arial" w:hAnsi="Arial"/>
          <w:b/>
          <w:bCs/>
          <w:color w:val="1B4F72"/>
          <w:sz w:val="32"/>
          <w:szCs w:val="32"/>
        </w:rPr>
        <w:t xml:space="preserve">SUSTAINABLE DEVELOPMENT INTEGRATION</w:t>
      </w:r>
    </w:p>
    <w:p>
      <w:pPr>
        <w:spacing w:after="120"/>
      </w:pPr>
      <w:r>
        <w:rPr>
          <w:rFonts w:ascii="Arial" w:cs="Arial" w:eastAsia="Arial" w:hAnsi="Arial"/>
          <w:b/>
          <w:bCs/>
          <w:color w:val="1B4F72"/>
          <w:sz w:val="22"/>
          <w:szCs w:val="22"/>
        </w:rPr>
        <w:t xml:space="preserve">0054  </w:t>
      </w:r>
      <w:r>
        <w:rPr>
          <w:rFonts w:ascii="Arial" w:cs="Arial" w:eastAsia="Arial" w:hAnsi="Arial"/>
          <w:sz w:val="22"/>
          <w:szCs w:val="22"/>
        </w:rPr>
        <w:t xml:space="preserve">All MCC methodologies shall integrate sustainable development contribution assessment as a mandatory requirement.</w:t>
      </w:r>
    </w:p>
    <w:p>
      <w:pPr>
        <w:spacing w:after="120"/>
      </w:pPr>
      <w:r>
        <w:rPr>
          <w:rFonts w:ascii="Arial" w:cs="Arial" w:eastAsia="Arial" w:hAnsi="Arial"/>
          <w:b/>
          <w:bCs/>
          <w:color w:val="1B4F72"/>
          <w:sz w:val="22"/>
          <w:szCs w:val="22"/>
        </w:rPr>
        <w:t xml:space="preserve">0055  </w:t>
      </w:r>
      <w:r>
        <w:rPr>
          <w:rFonts w:ascii="Arial" w:cs="Arial" w:eastAsia="Arial" w:hAnsi="Arial"/>
          <w:sz w:val="22"/>
          <w:szCs w:val="22"/>
        </w:rPr>
        <w:t xml:space="preserve">This integration shall be structured in accordance with MCC-SDCF-v1.0 (Sustainable Development Contribution Framework).</w:t>
      </w:r>
    </w:p>
    <w:p>
      <w:pPr>
        <w:spacing w:after="120"/>
      </w:pPr>
      <w:r>
        <w:rPr>
          <w:rFonts w:ascii="Arial" w:cs="Arial" w:eastAsia="Arial" w:hAnsi="Arial"/>
          <w:b/>
          <w:bCs/>
          <w:color w:val="1B4F72"/>
          <w:sz w:val="22"/>
          <w:szCs w:val="22"/>
        </w:rPr>
        <w:t xml:space="preserve">0056  </w:t>
      </w:r>
      <w:r>
        <w:rPr>
          <w:rFonts w:ascii="Arial" w:cs="Arial" w:eastAsia="Arial" w:hAnsi="Arial"/>
          <w:sz w:val="22"/>
          <w:szCs w:val="22"/>
        </w:rPr>
        <w:t xml:space="preserve">Each methodology family shall define methodology-specific Sustainable Development indicators aligned with the United Nations Sustainable Development Goals (SDGs).</w:t>
      </w:r>
    </w:p>
    <w:p>
      <w:pPr>
        <w:spacing w:after="120"/>
      </w:pPr>
      <w:r>
        <w:rPr>
          <w:rFonts w:ascii="Arial" w:cs="Arial" w:eastAsia="Arial" w:hAnsi="Arial"/>
          <w:b/>
          <w:bCs/>
          <w:color w:val="1B4F72"/>
          <w:sz w:val="22"/>
          <w:szCs w:val="22"/>
        </w:rPr>
        <w:t xml:space="preserve">0057  </w:t>
      </w:r>
      <w:r>
        <w:rPr>
          <w:rFonts w:ascii="Arial" w:cs="Arial" w:eastAsia="Arial" w:hAnsi="Arial"/>
          <w:sz w:val="22"/>
          <w:szCs w:val="22"/>
        </w:rPr>
        <w:t xml:space="preserve">MCC-F01 (Blue Carbon Sequestration) shall emphasise SDG 13 (Climate Action), SDG 14 (Life Below Water), and SDG 15 (Life on Land).</w:t>
      </w:r>
    </w:p>
    <w:p>
      <w:pPr>
        <w:spacing w:after="120"/>
      </w:pPr>
      <w:r>
        <w:rPr>
          <w:rFonts w:ascii="Arial" w:cs="Arial" w:eastAsia="Arial" w:hAnsi="Arial"/>
          <w:b/>
          <w:bCs/>
          <w:color w:val="1B4F72"/>
          <w:sz w:val="22"/>
          <w:szCs w:val="22"/>
        </w:rPr>
        <w:t xml:space="preserve">0058  </w:t>
      </w:r>
      <w:r>
        <w:rPr>
          <w:rFonts w:ascii="Arial" w:cs="Arial" w:eastAsia="Arial" w:hAnsi="Arial"/>
          <w:sz w:val="22"/>
          <w:szCs w:val="22"/>
        </w:rPr>
        <w:t xml:space="preserve">MCC-F02 (Blue Carbon Protection) shall emphasise SDG 13 (Climate Action), SDG 14 (Life Below Water), and SDG 15 (Life on Land).</w:t>
      </w:r>
    </w:p>
    <w:p>
      <w:pPr>
        <w:spacing w:after="120"/>
      </w:pPr>
      <w:r>
        <w:rPr>
          <w:rFonts w:ascii="Arial" w:cs="Arial" w:eastAsia="Arial" w:hAnsi="Arial"/>
          <w:b/>
          <w:bCs/>
          <w:color w:val="1B4F72"/>
          <w:sz w:val="22"/>
          <w:szCs w:val="22"/>
        </w:rPr>
        <w:t xml:space="preserve">0059  </w:t>
      </w:r>
      <w:r>
        <w:rPr>
          <w:rFonts w:ascii="Arial" w:cs="Arial" w:eastAsia="Arial" w:hAnsi="Arial"/>
          <w:sz w:val="22"/>
          <w:szCs w:val="22"/>
        </w:rPr>
        <w:t xml:space="preserve">MCC-F03 (Marine Ecosystem Conservation) shall emphasise SDG 14 (Life Below Water), SDG 15 (Life on Land), and SDG 1 (No Poverty).</w:t>
      </w:r>
    </w:p>
    <w:p>
      <w:pPr>
        <w:spacing w:after="120"/>
      </w:pPr>
      <w:r>
        <w:rPr>
          <w:rFonts w:ascii="Arial" w:cs="Arial" w:eastAsia="Arial" w:hAnsi="Arial"/>
          <w:b/>
          <w:bCs/>
          <w:color w:val="1B4F72"/>
          <w:sz w:val="22"/>
          <w:szCs w:val="22"/>
        </w:rPr>
        <w:t xml:space="preserve">0060  </w:t>
      </w:r>
      <w:r>
        <w:rPr>
          <w:rFonts w:ascii="Arial" w:cs="Arial" w:eastAsia="Arial" w:hAnsi="Arial"/>
          <w:sz w:val="22"/>
          <w:szCs w:val="22"/>
        </w:rPr>
        <w:t xml:space="preserve">MCC-F04 (Marine Pollution Prevention) shall emphasise SDG 12 (Responsible Consumption and Production), SDG 14 (Life Below Water), and SDG 3 (Good Health and Well-Being).</w:t>
      </w:r>
    </w:p>
    <w:p>
      <w:pPr>
        <w:spacing w:after="120"/>
      </w:pPr>
      <w:r>
        <w:rPr>
          <w:rFonts w:ascii="Arial" w:cs="Arial" w:eastAsia="Arial" w:hAnsi="Arial"/>
          <w:b/>
          <w:bCs/>
          <w:color w:val="1B4F72"/>
          <w:sz w:val="22"/>
          <w:szCs w:val="22"/>
        </w:rPr>
        <w:t xml:space="preserve">0061  </w:t>
      </w:r>
      <w:r>
        <w:rPr>
          <w:rFonts w:ascii="Arial" w:cs="Arial" w:eastAsia="Arial" w:hAnsi="Arial"/>
          <w:sz w:val="22"/>
          <w:szCs w:val="22"/>
        </w:rPr>
        <w:t xml:space="preserve">MCC-F05 (Upstream Waste Prevention) shall emphasise SDG 12 (Responsible Consumption and Production), SDG 8 (Decent Work and Economic Growth), and SDG 14 (Life Below Water).</w:t>
      </w:r>
    </w:p>
    <w:p>
      <w:pPr>
        <w:spacing w:after="120"/>
      </w:pPr>
      <w:r>
        <w:rPr>
          <w:rFonts w:ascii="Arial" w:cs="Arial" w:eastAsia="Arial" w:hAnsi="Arial"/>
          <w:b/>
          <w:bCs/>
          <w:color w:val="1B4F72"/>
          <w:sz w:val="22"/>
          <w:szCs w:val="22"/>
        </w:rPr>
        <w:t xml:space="preserve">0062  </w:t>
      </w:r>
      <w:r>
        <w:rPr>
          <w:rFonts w:ascii="Arial" w:cs="Arial" w:eastAsia="Arial" w:hAnsi="Arial"/>
          <w:sz w:val="22"/>
          <w:szCs w:val="22"/>
        </w:rPr>
        <w:t xml:space="preserve">Each methodology shall define a minimum of three SDG alignment indicators for the covered activity.</w:t>
      </w:r>
    </w:p>
    <w:p>
      <w:pPr>
        <w:spacing w:after="120"/>
      </w:pPr>
      <w:r>
        <w:rPr>
          <w:rFonts w:ascii="Arial" w:cs="Arial" w:eastAsia="Arial" w:hAnsi="Arial"/>
          <w:b/>
          <w:bCs/>
          <w:color w:val="1B4F72"/>
          <w:sz w:val="22"/>
          <w:szCs w:val="22"/>
        </w:rPr>
        <w:t xml:space="preserve">0063  </w:t>
      </w:r>
      <w:r>
        <w:rPr>
          <w:rFonts w:ascii="Arial" w:cs="Arial" w:eastAsia="Arial" w:hAnsi="Arial"/>
          <w:sz w:val="22"/>
          <w:szCs w:val="22"/>
        </w:rPr>
        <w:t xml:space="preserve">For each SDG indicator, the methodology shall specify baseline value, target value, measurement approach, and monitoring frequency.</w:t>
      </w:r>
    </w:p>
    <w:p>
      <w:pPr>
        <w:spacing w:after="120"/>
      </w:pPr>
      <w:r>
        <w:rPr>
          <w:rFonts w:ascii="Arial" w:cs="Arial" w:eastAsia="Arial" w:hAnsi="Arial"/>
          <w:b/>
          <w:bCs/>
          <w:color w:val="1B4F72"/>
          <w:sz w:val="22"/>
          <w:szCs w:val="22"/>
        </w:rPr>
        <w:t xml:space="preserve">0064  </w:t>
      </w:r>
      <w:r>
        <w:rPr>
          <w:rFonts w:ascii="Arial" w:cs="Arial" w:eastAsia="Arial" w:hAnsi="Arial"/>
          <w:sz w:val="22"/>
          <w:szCs w:val="22"/>
        </w:rPr>
        <w:t xml:space="preserve">Sustainable development scoring shall be integrated into MOD-06 (Validation) and MOD-07 (Verification) to ensure ongoing SD contribution assessment.</w:t>
      </w:r>
    </w:p>
    <w:p>
      <w:pPr>
        <w:spacing w:after="120"/>
      </w:pPr>
      <w:r>
        <w:rPr>
          <w:rFonts w:ascii="Arial" w:cs="Arial" w:eastAsia="Arial" w:hAnsi="Arial"/>
          <w:b/>
          <w:bCs/>
          <w:color w:val="1B4F72"/>
          <w:sz w:val="22"/>
          <w:szCs w:val="22"/>
        </w:rPr>
        <w:t xml:space="preserve">0065  </w:t>
      </w:r>
      <w:r>
        <w:rPr>
          <w:rFonts w:ascii="Arial" w:cs="Arial" w:eastAsia="Arial" w:hAnsi="Arial"/>
          <w:sz w:val="22"/>
          <w:szCs w:val="22"/>
        </w:rPr>
        <w:t xml:space="preserve">Projects shall be required to report on SD indicators at each verification cycle using the methodology-specified approach.</w:t>
      </w:r>
    </w:p>
    <w:p>
      <w:pPr>
        <w:spacing w:after="120"/>
      </w:pPr>
      <w:r>
        <w:rPr>
          <w:rFonts w:ascii="Arial" w:cs="Arial" w:eastAsia="Arial" w:hAnsi="Arial"/>
          <w:b/>
          <w:bCs/>
          <w:color w:val="1B4F72"/>
          <w:sz w:val="22"/>
          <w:szCs w:val="22"/>
        </w:rPr>
        <w:t xml:space="preserve">0066  </w:t>
      </w:r>
      <w:r>
        <w:rPr>
          <w:rFonts w:ascii="Arial" w:cs="Arial" w:eastAsia="Arial" w:hAnsi="Arial"/>
          <w:sz w:val="22"/>
          <w:szCs w:val="22"/>
        </w:rPr>
        <w:t xml:space="preserve">SD contribution shall not automatically create additional credits or financial incentives; SD assessment shall be transparent and public but distinct from credit issuance.</w:t>
      </w:r>
    </w:p>
    <w:p>
      <w:pPr>
        <w:spacing w:after="120"/>
      </w:pPr>
      <w:r>
        <w:rPr>
          <w:rFonts w:ascii="Arial" w:cs="Arial" w:eastAsia="Arial" w:hAnsi="Arial"/>
          <w:b/>
          <w:bCs/>
          <w:color w:val="1B4F72"/>
          <w:sz w:val="22"/>
          <w:szCs w:val="22"/>
        </w:rPr>
        <w:t xml:space="preserve">0067  </w:t>
      </w:r>
      <w:r>
        <w:rPr>
          <w:rFonts w:ascii="Arial" w:cs="Arial" w:eastAsia="Arial" w:hAnsi="Arial"/>
          <w:sz w:val="22"/>
          <w:szCs w:val="22"/>
        </w:rPr>
        <w:t xml:space="preserve">The MCC Board shall annually review and report on aggregate SD contributions across all active projects.</w:t>
      </w:r>
    </w:p>
    <w:p>
      <w:pPr>
        <w:spacing w:after="120"/>
      </w:pPr>
      <w:r>
        <w:rPr>
          <w:rFonts w:ascii="Arial" w:cs="Arial" w:eastAsia="Arial" w:hAnsi="Arial"/>
          <w:b/>
          <w:bCs/>
          <w:color w:val="1B4F72"/>
          <w:sz w:val="22"/>
          <w:szCs w:val="22"/>
        </w:rPr>
        <w:t xml:space="preserve">0068  </w:t>
      </w:r>
      <w:r>
        <w:rPr>
          <w:rFonts w:ascii="Arial" w:cs="Arial" w:eastAsia="Arial" w:hAnsi="Arial"/>
          <w:sz w:val="22"/>
          <w:szCs w:val="22"/>
        </w:rPr>
        <w:t xml:space="preserve">All methodology references to sustainable development shall cite MCC-SDCF-v1.0 as the authoritative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Methodology Family</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Primary SDG Focus</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Secondary SDGs</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Example Indicators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MCC-F01</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13 (Climate Action)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14, 15</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GHG reduction (tCO2e), coastal resilience</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MCC-F02</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SDG 13 (Climate Action)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SDG 14, 15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Blue carbon stock protection (tC), ecosystem integrity</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MCC-F03</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14 (Life Below Water)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15, 1</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Species abundance index, community livelihood index</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MCC-F04</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SDG 12 (Responsible Consumption)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SDG 14, 3</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Pollution mass reduction (t/yr), health impact score</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MCC-F05</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12 (Responsible Consumption)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SDG 8, 14</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Waste diverted (t/yr), green jobs created</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DOUBLE COUNTING PREVENTION IN METHODOLOGY APPLICATION</w:t>
      </w:r>
    </w:p>
    <w:p>
      <w:pPr>
        <w:spacing w:after="120"/>
      </w:pPr>
      <w:r>
        <w:rPr>
          <w:rFonts w:ascii="Arial" w:cs="Arial" w:eastAsia="Arial" w:hAnsi="Arial"/>
          <w:b/>
          <w:bCs/>
          <w:color w:val="1B4F72"/>
          <w:sz w:val="22"/>
          <w:szCs w:val="22"/>
        </w:rPr>
        <w:t xml:space="preserve">0069  </w:t>
      </w:r>
      <w:r>
        <w:rPr>
          <w:rFonts w:ascii="Arial" w:cs="Arial" w:eastAsia="Arial" w:hAnsi="Arial"/>
          <w:sz w:val="22"/>
          <w:szCs w:val="22"/>
        </w:rPr>
        <w:t xml:space="preserve">All MCC methodologies shall incorporate double counting prevention requirements in accordance with MCC-CADCP-v1.0 (Corresponding Adjustment and Double Counting Prevention Framework).</w:t>
      </w:r>
    </w:p>
    <w:p>
      <w:pPr>
        <w:spacing w:after="120"/>
      </w:pPr>
      <w:r>
        <w:rPr>
          <w:rFonts w:ascii="Arial" w:cs="Arial" w:eastAsia="Arial" w:hAnsi="Arial"/>
          <w:b/>
          <w:bCs/>
          <w:color w:val="1B4F72"/>
          <w:sz w:val="22"/>
          <w:szCs w:val="22"/>
        </w:rPr>
        <w:t xml:space="preserve">0070  </w:t>
      </w:r>
      <w:r>
        <w:rPr>
          <w:rFonts w:ascii="Arial" w:cs="Arial" w:eastAsia="Arial" w:hAnsi="Arial"/>
          <w:sz w:val="22"/>
          <w:szCs w:val="22"/>
        </w:rPr>
        <w:t xml:space="preserve">For the purposes of this section, 'double counting' shall mean the issuance of more than one credit (MCC or external) for the same underlying environmental benefit.</w:t>
      </w:r>
    </w:p>
    <w:p>
      <w:pPr>
        <w:spacing w:after="120"/>
      </w:pPr>
      <w:r>
        <w:rPr>
          <w:rFonts w:ascii="Arial" w:cs="Arial" w:eastAsia="Arial" w:hAnsi="Arial"/>
          <w:b/>
          <w:bCs/>
          <w:color w:val="1B4F72"/>
          <w:sz w:val="22"/>
          <w:szCs w:val="22"/>
        </w:rPr>
        <w:t xml:space="preserve">0071  </w:t>
      </w:r>
      <w:r>
        <w:rPr>
          <w:rFonts w:ascii="Arial" w:cs="Arial" w:eastAsia="Arial" w:hAnsi="Arial"/>
          <w:sz w:val="22"/>
          <w:szCs w:val="22"/>
        </w:rPr>
        <w:t xml:space="preserve">The baseline methodology (MOD-02) shall explicitly account for the existence and influence of any other existing carbon credit programmes, environmental programmes, or compliance frameworks operating in the same geographic area or activity scope.</w:t>
      </w:r>
    </w:p>
    <w:p>
      <w:pPr>
        <w:spacing w:after="120"/>
      </w:pPr>
      <w:r>
        <w:rPr>
          <w:rFonts w:ascii="Arial" w:cs="Arial" w:eastAsia="Arial" w:hAnsi="Arial"/>
          <w:b/>
          <w:bCs/>
          <w:color w:val="1B4F72"/>
          <w:sz w:val="22"/>
          <w:szCs w:val="22"/>
        </w:rPr>
        <w:t xml:space="preserve">0072  </w:t>
      </w:r>
      <w:r>
        <w:rPr>
          <w:rFonts w:ascii="Arial" w:cs="Arial" w:eastAsia="Arial" w:hAnsi="Arial"/>
          <w:sz w:val="22"/>
          <w:szCs w:val="22"/>
        </w:rPr>
        <w:t xml:space="preserve">Where overlapping programmes or frameworks exist, the baseline shall be adjusted downward or shall exclude overlapping benefits to prevent double issuance.</w:t>
      </w:r>
    </w:p>
    <w:p>
      <w:pPr>
        <w:spacing w:after="120"/>
      </w:pPr>
      <w:r>
        <w:rPr>
          <w:rFonts w:ascii="Arial" w:cs="Arial" w:eastAsia="Arial" w:hAnsi="Arial"/>
          <w:b/>
          <w:bCs/>
          <w:color w:val="1B4F72"/>
          <w:sz w:val="22"/>
          <w:szCs w:val="22"/>
        </w:rPr>
        <w:t xml:space="preserve">0073  </w:t>
      </w:r>
      <w:r>
        <w:rPr>
          <w:rFonts w:ascii="Arial" w:cs="Arial" w:eastAsia="Arial" w:hAnsi="Arial"/>
          <w:sz w:val="22"/>
          <w:szCs w:val="22"/>
        </w:rPr>
        <w:t xml:space="preserve">Leakage assessment (within MOD-02) shall explicitly include assessment of cross-programme displacement, wherein activity displacement to other programmes or jurisdictions shall be quantified and accounted for.</w:t>
      </w:r>
    </w:p>
    <w:p>
      <w:pPr>
        <w:spacing w:after="120"/>
      </w:pPr>
      <w:r>
        <w:rPr>
          <w:rFonts w:ascii="Arial" w:cs="Arial" w:eastAsia="Arial" w:hAnsi="Arial"/>
          <w:b/>
          <w:bCs/>
          <w:color w:val="1B4F72"/>
          <w:sz w:val="22"/>
          <w:szCs w:val="22"/>
        </w:rPr>
        <w:t xml:space="preserve">0074  </w:t>
      </w:r>
      <w:r>
        <w:rPr>
          <w:rFonts w:ascii="Arial" w:cs="Arial" w:eastAsia="Arial" w:hAnsi="Arial"/>
          <w:sz w:val="22"/>
          <w:szCs w:val="22"/>
        </w:rPr>
        <w:t xml:space="preserve">All quantification methods (MOD-03) shall be structured to prevent issuance of overlapping credits for the same mitigation or conservation outcome.</w:t>
      </w:r>
    </w:p>
    <w:p>
      <w:pPr>
        <w:spacing w:after="120"/>
      </w:pPr>
      <w:r>
        <w:rPr>
          <w:rFonts w:ascii="Arial" w:cs="Arial" w:eastAsia="Arial" w:hAnsi="Arial"/>
          <w:b/>
          <w:bCs/>
          <w:color w:val="1B4F72"/>
          <w:sz w:val="22"/>
          <w:szCs w:val="22"/>
        </w:rPr>
        <w:t xml:space="preserve">0075  </w:t>
      </w:r>
      <w:r>
        <w:rPr>
          <w:rFonts w:ascii="Arial" w:cs="Arial" w:eastAsia="Arial" w:hAnsi="Arial"/>
          <w:sz w:val="22"/>
          <w:szCs w:val="22"/>
        </w:rPr>
        <w:t xml:space="preserve">Where a project activity is designed to satisfy requirements of both MCC and an external compliance framework (e.g., renewable energy mandate), the methodology shall define a clear allocation rule specifying credit type and ownership.</w:t>
      </w:r>
    </w:p>
    <w:p>
      <w:pPr>
        <w:spacing w:after="120"/>
      </w:pPr>
      <w:r>
        <w:rPr>
          <w:rFonts w:ascii="Arial" w:cs="Arial" w:eastAsia="Arial" w:hAnsi="Arial"/>
          <w:b/>
          <w:bCs/>
          <w:color w:val="1B4F72"/>
          <w:sz w:val="22"/>
          <w:szCs w:val="22"/>
        </w:rPr>
        <w:t xml:space="preserve">0076  </w:t>
      </w:r>
      <w:r>
        <w:rPr>
          <w:rFonts w:ascii="Arial" w:cs="Arial" w:eastAsia="Arial" w:hAnsi="Arial"/>
          <w:sz w:val="22"/>
          <w:szCs w:val="22"/>
        </w:rPr>
        <w:t xml:space="preserve">MOD-05 (Reporting) shall require projects to disclose any concurrent external credit programmes, certifications, or regulatory frameworks applicable to the same project activity.</w:t>
      </w:r>
    </w:p>
    <w:p>
      <w:pPr>
        <w:spacing w:after="120"/>
      </w:pPr>
      <w:r>
        <w:rPr>
          <w:rFonts w:ascii="Arial" w:cs="Arial" w:eastAsia="Arial" w:hAnsi="Arial"/>
          <w:b/>
          <w:bCs/>
          <w:color w:val="1B4F72"/>
          <w:sz w:val="22"/>
          <w:szCs w:val="22"/>
        </w:rPr>
        <w:t xml:space="preserve">0077  </w:t>
      </w:r>
      <w:r>
        <w:rPr>
          <w:rFonts w:ascii="Arial" w:cs="Arial" w:eastAsia="Arial" w:hAnsi="Arial"/>
          <w:sz w:val="22"/>
          <w:szCs w:val="22"/>
        </w:rPr>
        <w:t xml:space="preserve">MOD-06 (Validation) and MOD-07 (Verification) shall include explicit verification of double counting prevention compliance.</w:t>
      </w:r>
    </w:p>
    <w:p>
      <w:pPr>
        <w:spacing w:after="120"/>
      </w:pPr>
      <w:r>
        <w:rPr>
          <w:rFonts w:ascii="Arial" w:cs="Arial" w:eastAsia="Arial" w:hAnsi="Arial"/>
          <w:b/>
          <w:bCs/>
          <w:color w:val="1B4F72"/>
          <w:sz w:val="22"/>
          <w:szCs w:val="22"/>
        </w:rPr>
        <w:t xml:space="preserve">0078  </w:t>
      </w:r>
      <w:r>
        <w:rPr>
          <w:rFonts w:ascii="Arial" w:cs="Arial" w:eastAsia="Arial" w:hAnsi="Arial"/>
          <w:sz w:val="22"/>
          <w:szCs w:val="22"/>
        </w:rPr>
        <w:t xml:space="preserve">The MCC Registry (MOD-10) shall maintain a public register of corresponding adjustments and shall cross-reference external programme registries where data is publicly available.</w:t>
      </w:r>
    </w:p>
    <w:p>
      <w:pPr>
        <w:spacing w:after="120"/>
      </w:pPr>
      <w:r>
        <w:rPr>
          <w:rFonts w:ascii="Arial" w:cs="Arial" w:eastAsia="Arial" w:hAnsi="Arial"/>
          <w:b/>
          <w:bCs/>
          <w:color w:val="1B4F72"/>
          <w:sz w:val="22"/>
          <w:szCs w:val="22"/>
        </w:rPr>
        <w:t xml:space="preserve">0079  </w:t>
      </w:r>
      <w:r>
        <w:rPr>
          <w:rFonts w:ascii="Arial" w:cs="Arial" w:eastAsia="Arial" w:hAnsi="Arial"/>
          <w:sz w:val="22"/>
          <w:szCs w:val="22"/>
        </w:rPr>
        <w:t xml:space="preserve">Host country corresponding adjustment tracking shall be integrated per MCC-CADCP-v1.0 requirements.</w:t>
      </w:r>
    </w:p>
    <w:p>
      <w:pPr>
        <w:spacing w:after="120"/>
      </w:pPr>
      <w:r>
        <w:rPr>
          <w:rFonts w:ascii="Arial" w:cs="Arial" w:eastAsia="Arial" w:hAnsi="Arial"/>
          <w:b/>
          <w:bCs/>
          <w:color w:val="1B4F72"/>
          <w:sz w:val="22"/>
          <w:szCs w:val="22"/>
        </w:rPr>
        <w:t xml:space="preserve">0080  </w:t>
      </w:r>
      <w:r>
        <w:rPr>
          <w:rFonts w:ascii="Arial" w:cs="Arial" w:eastAsia="Arial" w:hAnsi="Arial"/>
          <w:sz w:val="22"/>
          <w:szCs w:val="22"/>
        </w:rPr>
        <w:t xml:space="preserve">All methodology references to double counting prevention shall cite MCC-CADCP-v1.0 as the authoritative framework.</w:t>
      </w:r>
    </w:p>
    <w:p>
      <w:r>
        <w:br w:type="page"/>
      </w:r>
    </w:p>
    <w:p>
      <w:pPr>
        <w:pStyle w:val="Heading1"/>
        <w:spacing w:before="360" w:after="240"/>
      </w:pPr>
      <w:r>
        <w:rPr>
          <w:rFonts w:ascii="Arial" w:cs="Arial" w:eastAsia="Arial" w:hAnsi="Arial"/>
          <w:b/>
          <w:bCs/>
          <w:color w:val="1B4F72"/>
          <w:sz w:val="32"/>
          <w:szCs w:val="32"/>
        </w:rPr>
        <w:t xml:space="preserve">HOST COUNTRY REQUIREMENTS IN METHODOLOGY APPLICATION</w:t>
      </w:r>
    </w:p>
    <w:p>
      <w:pPr>
        <w:spacing w:after="120"/>
      </w:pPr>
      <w:r>
        <w:rPr>
          <w:rFonts w:ascii="Arial" w:cs="Arial" w:eastAsia="Arial" w:hAnsi="Arial"/>
          <w:b/>
          <w:bCs/>
          <w:color w:val="1B4F72"/>
          <w:sz w:val="22"/>
          <w:szCs w:val="22"/>
        </w:rPr>
        <w:t xml:space="preserve">0081  </w:t>
      </w:r>
      <w:r>
        <w:rPr>
          <w:rFonts w:ascii="Arial" w:cs="Arial" w:eastAsia="Arial" w:hAnsi="Arial"/>
          <w:sz w:val="22"/>
          <w:szCs w:val="22"/>
        </w:rPr>
        <w:t xml:space="preserve">All MCC methodologies shall incorporate host country requirements and regulatory context in accordance with MCC-HCA-v1.0 (Host Country Authorisation Framework).</w:t>
      </w:r>
    </w:p>
    <w:p>
      <w:pPr>
        <w:spacing w:after="120"/>
      </w:pPr>
      <w:r>
        <w:rPr>
          <w:rFonts w:ascii="Arial" w:cs="Arial" w:eastAsia="Arial" w:hAnsi="Arial"/>
          <w:b/>
          <w:bCs/>
          <w:color w:val="1B4F72"/>
          <w:sz w:val="22"/>
          <w:szCs w:val="22"/>
        </w:rPr>
        <w:t xml:space="preserve">0082  </w:t>
      </w:r>
      <w:r>
        <w:rPr>
          <w:rFonts w:ascii="Arial" w:cs="Arial" w:eastAsia="Arial" w:hAnsi="Arial"/>
          <w:sz w:val="22"/>
          <w:szCs w:val="22"/>
        </w:rPr>
        <w:t xml:space="preserve">Applicability criteria (MOD-01) shall include explicit assessment of compatibility with host country regulatory context, including environmental laws, marine policies, and institutional frameworks.</w:t>
      </w:r>
    </w:p>
    <w:p>
      <w:pPr>
        <w:spacing w:after="120"/>
      </w:pPr>
      <w:r>
        <w:rPr>
          <w:rFonts w:ascii="Arial" w:cs="Arial" w:eastAsia="Arial" w:hAnsi="Arial"/>
          <w:b/>
          <w:bCs/>
          <w:color w:val="1B4F72"/>
          <w:sz w:val="22"/>
          <w:szCs w:val="22"/>
        </w:rPr>
        <w:t xml:space="preserve">0083  </w:t>
      </w:r>
      <w:r>
        <w:rPr>
          <w:rFonts w:ascii="Arial" w:cs="Arial" w:eastAsia="Arial" w:hAnsi="Arial"/>
          <w:sz w:val="22"/>
          <w:szCs w:val="22"/>
        </w:rPr>
        <w:t xml:space="preserve">The baseline methodology (MOD-02) shall incorporate the host country's national environmental policies, marine spatial planning policies, and Nationally Determined Contributions (NDCs) as relevant context.</w:t>
      </w:r>
    </w:p>
    <w:p>
      <w:pPr>
        <w:spacing w:after="120"/>
      </w:pPr>
      <w:r>
        <w:rPr>
          <w:rFonts w:ascii="Arial" w:cs="Arial" w:eastAsia="Arial" w:hAnsi="Arial"/>
          <w:b/>
          <w:bCs/>
          <w:color w:val="1B4F72"/>
          <w:sz w:val="22"/>
          <w:szCs w:val="22"/>
        </w:rPr>
        <w:t xml:space="preserve">0084  </w:t>
      </w:r>
      <w:r>
        <w:rPr>
          <w:rFonts w:ascii="Arial" w:cs="Arial" w:eastAsia="Arial" w:hAnsi="Arial"/>
          <w:sz w:val="22"/>
          <w:szCs w:val="22"/>
        </w:rPr>
        <w:t xml:space="preserve">Where host country policies prohibit or constrain the activity, the baseline shall reflect such constraints, and methodologies shall not be applied in jurisdictions where they are inconsistent with host country law.</w:t>
      </w:r>
    </w:p>
    <w:p>
      <w:pPr>
        <w:spacing w:after="120"/>
      </w:pPr>
      <w:r>
        <w:rPr>
          <w:rFonts w:ascii="Arial" w:cs="Arial" w:eastAsia="Arial" w:hAnsi="Arial"/>
          <w:b/>
          <w:bCs/>
          <w:color w:val="1B4F72"/>
          <w:sz w:val="22"/>
          <w:szCs w:val="22"/>
        </w:rPr>
        <w:t xml:space="preserve">0085  </w:t>
      </w:r>
      <w:r>
        <w:rPr>
          <w:rFonts w:ascii="Arial" w:cs="Arial" w:eastAsia="Arial" w:hAnsi="Arial"/>
          <w:sz w:val="22"/>
          <w:szCs w:val="22"/>
        </w:rPr>
        <w:t xml:space="preserve">Crediting period limits (MOD-02) shall respect and align with the time horizons established in host country policy frameworks, including national environmental management plans and NDC implementation timelines.</w:t>
      </w:r>
    </w:p>
    <w:p>
      <w:pPr>
        <w:spacing w:after="120"/>
      </w:pPr>
      <w:r>
        <w:rPr>
          <w:rFonts w:ascii="Arial" w:cs="Arial" w:eastAsia="Arial" w:hAnsi="Arial"/>
          <w:b/>
          <w:bCs/>
          <w:color w:val="1B4F72"/>
          <w:sz w:val="22"/>
          <w:szCs w:val="22"/>
        </w:rPr>
        <w:t xml:space="preserve">0086  </w:t>
      </w:r>
      <w:r>
        <w:rPr>
          <w:rFonts w:ascii="Arial" w:cs="Arial" w:eastAsia="Arial" w:hAnsi="Arial"/>
          <w:sz w:val="22"/>
          <w:szCs w:val="22"/>
        </w:rPr>
        <w:t xml:space="preserve">MOD-06 (Validation) shall include explicit host country regulatory compatibility assessment.</w:t>
      </w:r>
    </w:p>
    <w:p>
      <w:pPr>
        <w:spacing w:after="120"/>
      </w:pPr>
      <w:r>
        <w:rPr>
          <w:rFonts w:ascii="Arial" w:cs="Arial" w:eastAsia="Arial" w:hAnsi="Arial"/>
          <w:b/>
          <w:bCs/>
          <w:color w:val="1B4F72"/>
          <w:sz w:val="22"/>
          <w:szCs w:val="22"/>
        </w:rPr>
        <w:t xml:space="preserve">0087  </w:t>
      </w:r>
      <w:r>
        <w:rPr>
          <w:rFonts w:ascii="Arial" w:cs="Arial" w:eastAsia="Arial" w:hAnsi="Arial"/>
          <w:sz w:val="22"/>
          <w:szCs w:val="22"/>
        </w:rPr>
        <w:t xml:space="preserve">Projects shall be required to evidence host country authorisation or non-objection prior to credit issuance (MOD-10).</w:t>
      </w:r>
    </w:p>
    <w:p>
      <w:pPr>
        <w:spacing w:after="120"/>
      </w:pPr>
      <w:r>
        <w:rPr>
          <w:rFonts w:ascii="Arial" w:cs="Arial" w:eastAsia="Arial" w:hAnsi="Arial"/>
          <w:b/>
          <w:bCs/>
          <w:color w:val="1B4F72"/>
          <w:sz w:val="22"/>
          <w:szCs w:val="22"/>
        </w:rPr>
        <w:t xml:space="preserve">0088  </w:t>
      </w:r>
      <w:r>
        <w:rPr>
          <w:rFonts w:ascii="Arial" w:cs="Arial" w:eastAsia="Arial" w:hAnsi="Arial"/>
          <w:sz w:val="22"/>
          <w:szCs w:val="22"/>
        </w:rPr>
        <w:t xml:space="preserve">MOD-05 (Reporting) shall require projects to disclose any material changes to host country regulatory context and shall assess implications for ongoing project operation.</w:t>
      </w:r>
    </w:p>
    <w:p>
      <w:pPr>
        <w:spacing w:after="120"/>
      </w:pPr>
      <w:r>
        <w:rPr>
          <w:rFonts w:ascii="Arial" w:cs="Arial" w:eastAsia="Arial" w:hAnsi="Arial"/>
          <w:b/>
          <w:bCs/>
          <w:color w:val="1B4F72"/>
          <w:sz w:val="22"/>
          <w:szCs w:val="22"/>
        </w:rPr>
        <w:t xml:space="preserve">0089  </w:t>
      </w:r>
      <w:r>
        <w:rPr>
          <w:rFonts w:ascii="Arial" w:cs="Arial" w:eastAsia="Arial" w:hAnsi="Arial"/>
          <w:sz w:val="22"/>
          <w:szCs w:val="22"/>
        </w:rPr>
        <w:t xml:space="preserve">Where host country policies change materially, projects shall reassess compatibility, and the MCC Board shall determine whether remedial measures, methodology amendments, or project suspension are necessary.</w:t>
      </w:r>
    </w:p>
    <w:p>
      <w:pPr>
        <w:spacing w:after="120"/>
      </w:pPr>
      <w:r>
        <w:rPr>
          <w:rFonts w:ascii="Arial" w:cs="Arial" w:eastAsia="Arial" w:hAnsi="Arial"/>
          <w:b/>
          <w:bCs/>
          <w:color w:val="1B4F72"/>
          <w:sz w:val="22"/>
          <w:szCs w:val="22"/>
        </w:rPr>
        <w:t xml:space="preserve">0090  </w:t>
      </w:r>
      <w:r>
        <w:rPr>
          <w:rFonts w:ascii="Arial" w:cs="Arial" w:eastAsia="Arial" w:hAnsi="Arial"/>
          <w:sz w:val="22"/>
          <w:szCs w:val="22"/>
        </w:rPr>
        <w:t xml:space="preserve">All methodology references to host country requirements shall cite MCC-HCA-v1.0 as the authoritative framework.</w:t>
      </w:r>
    </w:p>
    <w:p>
      <w:r>
        <w:br w:type="page"/>
      </w:r>
    </w:p>
    <w:p>
      <w:pPr>
        <w:pStyle w:val="Heading1"/>
        <w:spacing w:before="360" w:after="240"/>
      </w:pPr>
      <w:r>
        <w:rPr>
          <w:rFonts w:ascii="Arial" w:cs="Arial" w:eastAsia="Arial" w:hAnsi="Arial"/>
          <w:b/>
          <w:bCs/>
          <w:color w:val="1B4F72"/>
          <w:sz w:val="32"/>
          <w:szCs w:val="32"/>
        </w:rPr>
        <w:t xml:space="preserve">SAFEGUARDS IN METHODOLOGY APPLICATION</w:t>
      </w:r>
    </w:p>
    <w:p>
      <w:pPr>
        <w:spacing w:after="120"/>
      </w:pPr>
      <w:r>
        <w:rPr>
          <w:rFonts w:ascii="Arial" w:cs="Arial" w:eastAsia="Arial" w:hAnsi="Arial"/>
          <w:b/>
          <w:bCs/>
          <w:color w:val="1B4F72"/>
          <w:sz w:val="22"/>
          <w:szCs w:val="22"/>
        </w:rPr>
        <w:t xml:space="preserve">0091  </w:t>
      </w:r>
      <w:r>
        <w:rPr>
          <w:rFonts w:ascii="Arial" w:cs="Arial" w:eastAsia="Arial" w:hAnsi="Arial"/>
          <w:sz w:val="22"/>
          <w:szCs w:val="22"/>
        </w:rPr>
        <w:t xml:space="preserve">All MCC methodologies shall define and integrate environmental and social (E&amp;S) safeguards requirements in accordance with MCC-ESS-v1.0 (Environmental and Social Safeguards Standard).</w:t>
      </w:r>
    </w:p>
    <w:p>
      <w:pPr>
        <w:spacing w:after="120"/>
      </w:pPr>
      <w:r>
        <w:rPr>
          <w:rFonts w:ascii="Arial" w:cs="Arial" w:eastAsia="Arial" w:hAnsi="Arial"/>
          <w:b/>
          <w:bCs/>
          <w:color w:val="1B4F72"/>
          <w:sz w:val="22"/>
          <w:szCs w:val="22"/>
        </w:rPr>
        <w:t xml:space="preserve">0092  </w:t>
      </w:r>
      <w:r>
        <w:rPr>
          <w:rFonts w:ascii="Arial" w:cs="Arial" w:eastAsia="Arial" w:hAnsi="Arial"/>
          <w:sz w:val="22"/>
          <w:szCs w:val="22"/>
        </w:rPr>
        <w:t xml:space="preserve">E&amp;S safeguards shall address potential negative environmental and social impacts and shall establish mitigation and monitoring requirements.</w:t>
      </w:r>
    </w:p>
    <w:p>
      <w:pPr>
        <w:spacing w:after="120"/>
      </w:pPr>
      <w:r>
        <w:rPr>
          <w:rFonts w:ascii="Arial" w:cs="Arial" w:eastAsia="Arial" w:hAnsi="Arial"/>
          <w:b/>
          <w:bCs/>
          <w:color w:val="1B4F72"/>
          <w:sz w:val="22"/>
          <w:szCs w:val="22"/>
        </w:rPr>
        <w:t xml:space="preserve">0093  </w:t>
      </w:r>
      <w:r>
        <w:rPr>
          <w:rFonts w:ascii="Arial" w:cs="Arial" w:eastAsia="Arial" w:hAnsi="Arial"/>
          <w:sz w:val="22"/>
          <w:szCs w:val="22"/>
        </w:rPr>
        <w:t xml:space="preserve">MOD-09 (Safeguards and Co-Benefits) shall be elevated to a mandatory programme-level requirement for all methodologies and shall be integrated into validation and verification cycles.</w:t>
      </w:r>
    </w:p>
    <w:p>
      <w:pPr>
        <w:spacing w:after="120"/>
      </w:pPr>
      <w:r>
        <w:rPr>
          <w:rFonts w:ascii="Arial" w:cs="Arial" w:eastAsia="Arial" w:hAnsi="Arial"/>
          <w:b/>
          <w:bCs/>
          <w:color w:val="1B4F72"/>
          <w:sz w:val="22"/>
          <w:szCs w:val="22"/>
        </w:rPr>
        <w:t xml:space="preserve">0094  </w:t>
      </w:r>
      <w:r>
        <w:rPr>
          <w:rFonts w:ascii="Arial" w:cs="Arial" w:eastAsia="Arial" w:hAnsi="Arial"/>
          <w:sz w:val="22"/>
          <w:szCs w:val="22"/>
        </w:rPr>
        <w:t xml:space="preserve">Each methodology shall define methodology-type-specific safeguards, including but not limited to: ecosystem integrity, biodiversity, livelihood impacts, cultural heritage, labour rights, and stakeholder engagement.</w:t>
      </w:r>
    </w:p>
    <w:p>
      <w:pPr>
        <w:spacing w:after="120"/>
      </w:pPr>
      <w:r>
        <w:rPr>
          <w:rFonts w:ascii="Arial" w:cs="Arial" w:eastAsia="Arial" w:hAnsi="Arial"/>
          <w:b/>
          <w:bCs/>
          <w:color w:val="1B4F72"/>
          <w:sz w:val="22"/>
          <w:szCs w:val="22"/>
        </w:rPr>
        <w:t xml:space="preserve">0095  </w:t>
      </w:r>
      <w:r>
        <w:rPr>
          <w:rFonts w:ascii="Arial" w:cs="Arial" w:eastAsia="Arial" w:hAnsi="Arial"/>
          <w:sz w:val="22"/>
          <w:szCs w:val="22"/>
        </w:rPr>
        <w:t xml:space="preserve">MCC-F01 (Blue Carbon Sequestration) shall include safeguards addressing potential habitat disruption, species displacement, and livelihood impacts on coastal communities.</w:t>
      </w:r>
    </w:p>
    <w:p>
      <w:pPr>
        <w:spacing w:after="120"/>
      </w:pPr>
      <w:r>
        <w:rPr>
          <w:rFonts w:ascii="Arial" w:cs="Arial" w:eastAsia="Arial" w:hAnsi="Arial"/>
          <w:b/>
          <w:bCs/>
          <w:color w:val="1B4F72"/>
          <w:sz w:val="22"/>
          <w:szCs w:val="22"/>
        </w:rPr>
        <w:t xml:space="preserve">0096  </w:t>
      </w:r>
      <w:r>
        <w:rPr>
          <w:rFonts w:ascii="Arial" w:cs="Arial" w:eastAsia="Arial" w:hAnsi="Arial"/>
          <w:sz w:val="22"/>
          <w:szCs w:val="22"/>
        </w:rPr>
        <w:t xml:space="preserve">MCC-F02 (Blue Carbon Protection) shall include safeguards addressing potential access restrictions, livelihood changes, and ecosystem trade-offs.</w:t>
      </w:r>
    </w:p>
    <w:p>
      <w:pPr>
        <w:spacing w:after="120"/>
      </w:pPr>
      <w:r>
        <w:rPr>
          <w:rFonts w:ascii="Arial" w:cs="Arial" w:eastAsia="Arial" w:hAnsi="Arial"/>
          <w:b/>
          <w:bCs/>
          <w:color w:val="1B4F72"/>
          <w:sz w:val="22"/>
          <w:szCs w:val="22"/>
        </w:rPr>
        <w:t xml:space="preserve">0097  </w:t>
      </w:r>
      <w:r>
        <w:rPr>
          <w:rFonts w:ascii="Arial" w:cs="Arial" w:eastAsia="Arial" w:hAnsi="Arial"/>
          <w:sz w:val="22"/>
          <w:szCs w:val="22"/>
        </w:rPr>
        <w:t xml:space="preserve">MCC-F03 (Marine Ecosystem Conservation) shall include safeguards addressing livelihood impacts, indigenous rights, and equitable benefit sharing.</w:t>
      </w:r>
    </w:p>
    <w:p>
      <w:pPr>
        <w:spacing w:after="120"/>
      </w:pPr>
      <w:r>
        <w:rPr>
          <w:rFonts w:ascii="Arial" w:cs="Arial" w:eastAsia="Arial" w:hAnsi="Arial"/>
          <w:b/>
          <w:bCs/>
          <w:color w:val="1B4F72"/>
          <w:sz w:val="22"/>
          <w:szCs w:val="22"/>
        </w:rPr>
        <w:t xml:space="preserve">0098  </w:t>
      </w:r>
      <w:r>
        <w:rPr>
          <w:rFonts w:ascii="Arial" w:cs="Arial" w:eastAsia="Arial" w:hAnsi="Arial"/>
          <w:sz w:val="22"/>
          <w:szCs w:val="22"/>
        </w:rPr>
        <w:t xml:space="preserve">MCC-F04 (Marine Pollution Prevention) shall include safeguards addressing technology safety, waste management, and community health impacts.</w:t>
      </w:r>
    </w:p>
    <w:p>
      <w:pPr>
        <w:spacing w:after="120"/>
      </w:pPr>
      <w:r>
        <w:rPr>
          <w:rFonts w:ascii="Arial" w:cs="Arial" w:eastAsia="Arial" w:hAnsi="Arial"/>
          <w:b/>
          <w:bCs/>
          <w:color w:val="1B4F72"/>
          <w:sz w:val="22"/>
          <w:szCs w:val="22"/>
        </w:rPr>
        <w:t xml:space="preserve">0099  </w:t>
      </w:r>
      <w:r>
        <w:rPr>
          <w:rFonts w:ascii="Arial" w:cs="Arial" w:eastAsia="Arial" w:hAnsi="Arial"/>
          <w:sz w:val="22"/>
          <w:szCs w:val="22"/>
        </w:rPr>
        <w:t xml:space="preserve">MCC-F05 (Upstream Waste Prevention) shall include safeguards addressing supply chain labour practices and waste management environmental impacts.</w:t>
      </w:r>
    </w:p>
    <w:p>
      <w:pPr>
        <w:spacing w:after="120"/>
      </w:pPr>
      <w:r>
        <w:rPr>
          <w:rFonts w:ascii="Arial" w:cs="Arial" w:eastAsia="Arial" w:hAnsi="Arial"/>
          <w:b/>
          <w:bCs/>
          <w:color w:val="1B4F72"/>
          <w:sz w:val="22"/>
          <w:szCs w:val="22"/>
        </w:rPr>
        <w:t xml:space="preserve">0100  </w:t>
      </w:r>
      <w:r>
        <w:rPr>
          <w:rFonts w:ascii="Arial" w:cs="Arial" w:eastAsia="Arial" w:hAnsi="Arial"/>
          <w:sz w:val="22"/>
          <w:szCs w:val="22"/>
        </w:rPr>
        <w:t xml:space="preserve">An Environmental and Social Impact Assessment (ESIA) shall be required for all projects under methodologies addressing sensitive ecosystems, vulnerable communities, or high-impact activities.</w:t>
      </w:r>
    </w:p>
    <w:p>
      <w:pPr>
        <w:spacing w:after="120"/>
      </w:pPr>
      <w:r>
        <w:rPr>
          <w:rFonts w:ascii="Arial" w:cs="Arial" w:eastAsia="Arial" w:hAnsi="Arial"/>
          <w:b/>
          <w:bCs/>
          <w:color w:val="1B4F72"/>
          <w:sz w:val="22"/>
          <w:szCs w:val="22"/>
        </w:rPr>
        <w:t xml:space="preserve">0101  </w:t>
      </w:r>
      <w:r>
        <w:rPr>
          <w:rFonts w:ascii="Arial" w:cs="Arial" w:eastAsia="Arial" w:hAnsi="Arial"/>
          <w:sz w:val="22"/>
          <w:szCs w:val="22"/>
        </w:rPr>
        <w:t xml:space="preserve">ESIA scope and depth shall be proportionate to the methodology type and geographic context, as specified in each methodology's MOD-01.</w:t>
      </w:r>
    </w:p>
    <w:p>
      <w:pPr>
        <w:spacing w:after="120"/>
      </w:pPr>
      <w:r>
        <w:rPr>
          <w:rFonts w:ascii="Arial" w:cs="Arial" w:eastAsia="Arial" w:hAnsi="Arial"/>
          <w:b/>
          <w:bCs/>
          <w:color w:val="1B4F72"/>
          <w:sz w:val="22"/>
          <w:szCs w:val="22"/>
        </w:rPr>
        <w:t xml:space="preserve">0102  </w:t>
      </w:r>
      <w:r>
        <w:rPr>
          <w:rFonts w:ascii="Arial" w:cs="Arial" w:eastAsia="Arial" w:hAnsi="Arial"/>
          <w:sz w:val="22"/>
          <w:szCs w:val="22"/>
        </w:rPr>
        <w:t xml:space="preserve">MOD-06 (Validation) and MOD-07 (Verification) shall include explicit E&amp;S safeguards compliance assessment.</w:t>
      </w:r>
    </w:p>
    <w:p>
      <w:pPr>
        <w:spacing w:after="120"/>
      </w:pPr>
      <w:r>
        <w:rPr>
          <w:rFonts w:ascii="Arial" w:cs="Arial" w:eastAsia="Arial" w:hAnsi="Arial"/>
          <w:b/>
          <w:bCs/>
          <w:color w:val="1B4F72"/>
          <w:sz w:val="22"/>
          <w:szCs w:val="22"/>
        </w:rPr>
        <w:t xml:space="preserve">0103  </w:t>
      </w:r>
      <w:r>
        <w:rPr>
          <w:rFonts w:ascii="Arial" w:cs="Arial" w:eastAsia="Arial" w:hAnsi="Arial"/>
          <w:sz w:val="22"/>
          <w:szCs w:val="22"/>
        </w:rPr>
        <w:t xml:space="preserve">Projects shall report on safeguards implementation at each verification cycle using the methodology-specified approach.</w:t>
      </w:r>
    </w:p>
    <w:p>
      <w:pPr>
        <w:spacing w:after="120"/>
      </w:pPr>
      <w:r>
        <w:rPr>
          <w:rFonts w:ascii="Arial" w:cs="Arial" w:eastAsia="Arial" w:hAnsi="Arial"/>
          <w:b/>
          <w:bCs/>
          <w:color w:val="1B4F72"/>
          <w:sz w:val="22"/>
          <w:szCs w:val="22"/>
        </w:rPr>
        <w:t xml:space="preserve">0104  </w:t>
      </w:r>
      <w:r>
        <w:rPr>
          <w:rFonts w:ascii="Arial" w:cs="Arial" w:eastAsia="Arial" w:hAnsi="Arial"/>
          <w:sz w:val="22"/>
          <w:szCs w:val="22"/>
        </w:rPr>
        <w:t xml:space="preserve">All methodology references to safeguards shall cite MCC-ESS-v1.0 as the authoritative framework.</w:t>
      </w:r>
    </w:p>
    <w:p>
      <w:pPr>
        <w:spacing w:after="120"/>
      </w:pPr>
      <w:r>
        <w:rPr>
          <w:rFonts w:ascii="Arial" w:cs="Arial" w:eastAsia="Arial" w:hAnsi="Arial"/>
          <w:b/>
          <w:bCs/>
          <w:color w:val="1B4F72"/>
          <w:sz w:val="22"/>
          <w:szCs w:val="22"/>
        </w:rPr>
        <w:t xml:space="preserve">0105  </w:t>
      </w:r>
      <w:r>
        <w:rPr>
          <w:rFonts w:ascii="Arial" w:cs="Arial" w:eastAsia="Arial" w:hAnsi="Arial"/>
          <w:sz w:val="22"/>
          <w:szCs w:val="22"/>
        </w:rPr>
        <w:t xml:space="preserve">E&amp;S safeguards shall be non-negotiable requirements, and credit issuance shall be conditioned on demonstrated compliance.</w:t>
      </w:r>
    </w:p>
    <w:p>
      <w:r>
        <w:br w:type="page"/>
      </w:r>
    </w:p>
    <w:p>
      <w:pPr>
        <w:pStyle w:val="Heading1"/>
        <w:spacing w:before="360" w:after="240"/>
      </w:pPr>
      <w:r>
        <w:rPr>
          <w:rFonts w:ascii="Arial" w:cs="Arial" w:eastAsia="Arial" w:hAnsi="Arial"/>
          <w:b/>
          <w:bCs/>
          <w:color w:val="1B4F72"/>
          <w:sz w:val="32"/>
          <w:szCs w:val="32"/>
        </w:rPr>
        <w:t xml:space="preserve">METHODOLOGY REVISION AND RETIREMENT</w:t>
      </w:r>
    </w:p>
    <w:p>
      <w:pPr>
        <w:spacing w:after="120"/>
      </w:pPr>
      <w:r>
        <w:rPr>
          <w:rFonts w:ascii="Arial" w:cs="Arial" w:eastAsia="Arial" w:hAnsi="Arial"/>
          <w:b/>
          <w:bCs/>
          <w:color w:val="1B4F72"/>
          <w:sz w:val="22"/>
          <w:szCs w:val="22"/>
        </w:rPr>
        <w:t xml:space="preserve">0106  </w:t>
      </w:r>
      <w:r>
        <w:rPr>
          <w:rFonts w:ascii="Arial" w:cs="Arial" w:eastAsia="Arial" w:hAnsi="Arial"/>
          <w:sz w:val="22"/>
          <w:szCs w:val="22"/>
        </w:rPr>
        <w:t xml:space="preserve">Methodologies may be revised to reflect scientific advances, operational experience, or changes in policy or regulatory context.</w:t>
      </w:r>
    </w:p>
    <w:p>
      <w:pPr>
        <w:spacing w:after="120"/>
      </w:pPr>
      <w:r>
        <w:rPr>
          <w:rFonts w:ascii="Arial" w:cs="Arial" w:eastAsia="Arial" w:hAnsi="Arial"/>
          <w:b/>
          <w:bCs/>
          <w:color w:val="1B4F72"/>
          <w:sz w:val="22"/>
          <w:szCs w:val="22"/>
        </w:rPr>
        <w:t>0107  Revisions shall be classified as 'minor' (clarification, correction, or technical revision that does not change scope, baseline methodology, or quantification) or 'major' (scope expansion, baseline methodology change, quantification method change, or substantive change to safeguards). Major revisions are treated as new methodologies for governance purposes.</w:t>
      </w:r>
      <w:r>
        <w:rPr>
          <w:rFonts w:ascii="Arial" w:cs="Arial" w:eastAsia="Arial" w:hAnsi="Arial"/>
          <w:sz w:val="22"/>
          <w:szCs w:val="22"/>
        </w:rPr>
      </w:r>
    </w:p>
    <w:p>
      <w:pPr>
        <w:spacing w:after="120"/>
      </w:pPr>
      <w:r>
        <w:rPr>
          <w:rFonts w:ascii="Arial" w:cs="Arial" w:eastAsia="Arial" w:hAnsi="Arial"/>
          <w:b/>
          <w:bCs/>
          <w:color w:val="1B4F72"/>
          <w:sz w:val="22"/>
          <w:szCs w:val="22"/>
        </w:rPr>
        <w:t>0108  Minor or technical revisions may be approved by the Methodology Review Committee by simple majority of members present, with stakeholder notification.</w:t>
      </w:r>
      <w:r>
        <w:rPr>
          <w:rFonts w:ascii="Arial" w:cs="Arial" w:eastAsia="Arial" w:hAnsi="Arial"/>
          <w:sz w:val="22"/>
          <w:szCs w:val="22"/>
        </w:rPr>
      </w:r>
    </w:p>
    <w:p>
      <w:pPr>
        <w:spacing w:after="120"/>
      </w:pPr>
      <w:r>
        <w:rPr>
          <w:rFonts w:ascii="Arial" w:cs="Arial" w:eastAsia="Arial" w:hAnsi="Arial"/>
          <w:b/>
          <w:bCs/>
          <w:color w:val="1B4F72"/>
          <w:sz w:val="22"/>
          <w:szCs w:val="22"/>
        </w:rPr>
        <w:t>0109  Major revisions, and all new methodology approvals, shall require a 75% supermajority of the Methodology Review Committee (or the Standards Committee where MCC-700 assigns it that authority) and shall follow the full approval process specified in Section 3 (Methodology Approval).</w:t>
      </w:r>
      <w:r>
        <w:rPr>
          <w:rFonts w:ascii="Arial" w:cs="Arial" w:eastAsia="Arial" w:hAnsi="Arial"/>
          <w:sz w:val="22"/>
          <w:szCs w:val="22"/>
        </w:rPr>
      </w:r>
    </w:p>
    <w:p>
      <w:pPr>
        <w:spacing w:after="120"/>
      </w:pPr>
      <w:r>
        <w:rPr>
          <w:rFonts w:ascii="Arial" w:cs="Arial" w:eastAsia="Arial" w:hAnsi="Arial"/>
          <w:b/>
          <w:bCs/>
          <w:color w:val="1B4F72"/>
          <w:sz w:val="22"/>
          <w:szCs w:val="22"/>
        </w:rPr>
        <w:t xml:space="preserve">0110  </w:t>
      </w:r>
      <w:r>
        <w:rPr>
          <w:rFonts w:ascii="Arial" w:cs="Arial" w:eastAsia="Arial" w:hAnsi="Arial"/>
          <w:sz w:val="22"/>
          <w:szCs w:val="22"/>
        </w:rPr>
        <w:t xml:space="preserve">Upon approval of a revised methodology, a new version number shall be assigned (e.g., M001 v2.1).</w:t>
      </w:r>
    </w:p>
    <w:p>
      <w:pPr>
        <w:spacing w:after="120"/>
      </w:pPr>
      <w:r>
        <w:rPr>
          <w:rFonts w:ascii="Arial" w:cs="Arial" w:eastAsia="Arial" w:hAnsi="Arial"/>
          <w:b/>
          <w:bCs/>
          <w:color w:val="1B4F72"/>
          <w:sz w:val="22"/>
          <w:szCs w:val="22"/>
        </w:rPr>
        <w:t xml:space="preserve">0111  </w:t>
      </w:r>
      <w:r>
        <w:rPr>
          <w:rFonts w:ascii="Arial" w:cs="Arial" w:eastAsia="Arial" w:hAnsi="Arial"/>
          <w:sz w:val="22"/>
          <w:szCs w:val="22"/>
        </w:rPr>
        <w:t xml:space="preserve">Transitional arrangements shall specify the timeline for application of revised methodologies to new projects and whether existing projects may continue under previous versions.</w:t>
      </w:r>
    </w:p>
    <w:p>
      <w:pPr>
        <w:spacing w:after="120"/>
      </w:pPr>
      <w:r>
        <w:rPr>
          <w:rFonts w:ascii="Arial" w:cs="Arial" w:eastAsia="Arial" w:hAnsi="Arial"/>
          <w:b/>
          <w:bCs/>
          <w:color w:val="1B4F72"/>
          <w:sz w:val="22"/>
          <w:szCs w:val="22"/>
        </w:rPr>
        <w:t xml:space="preserve">0112  </w:t>
      </w:r>
      <w:r>
        <w:rPr>
          <w:rFonts w:ascii="Arial" w:cs="Arial" w:eastAsia="Arial" w:hAnsi="Arial"/>
          <w:sz w:val="22"/>
          <w:szCs w:val="22"/>
        </w:rPr>
        <w:t xml:space="preserve">Transitional periods shall not exceed two years except where justified by operational or scientific necessity.</w:t>
      </w:r>
    </w:p>
    <w:p>
      <w:pPr>
        <w:spacing w:after="120"/>
      </w:pPr>
      <w:r>
        <w:rPr>
          <w:rFonts w:ascii="Arial" w:cs="Arial" w:eastAsia="Arial" w:hAnsi="Arial"/>
          <w:b/>
          <w:bCs/>
          <w:color w:val="1B4F72"/>
          <w:sz w:val="22"/>
          <w:szCs w:val="22"/>
        </w:rPr>
        <w:t xml:space="preserve">0113  </w:t>
      </w:r>
      <w:r>
        <w:rPr>
          <w:rFonts w:ascii="Arial" w:cs="Arial" w:eastAsia="Arial" w:hAnsi="Arial"/>
          <w:sz w:val="22"/>
          <w:szCs w:val="22"/>
        </w:rPr>
        <w:t xml:space="preserve">Projects may opt to transition to a newer methodology version only if doing so maintains or improves credit quality and environmental integrity.</w:t>
      </w:r>
    </w:p>
    <w:p>
      <w:pPr>
        <w:spacing w:after="120"/>
      </w:pPr>
      <w:r>
        <w:rPr>
          <w:rFonts w:ascii="Arial" w:cs="Arial" w:eastAsia="Arial" w:hAnsi="Arial"/>
          <w:b/>
          <w:bCs/>
          <w:color w:val="1B4F72"/>
          <w:sz w:val="22"/>
          <w:szCs w:val="22"/>
        </w:rPr>
        <w:t xml:space="preserve">0114  </w:t>
      </w:r>
      <w:r>
        <w:rPr>
          <w:rFonts w:ascii="Arial" w:cs="Arial" w:eastAsia="Arial" w:hAnsi="Arial"/>
          <w:sz w:val="22"/>
          <w:szCs w:val="22"/>
        </w:rPr>
        <w:t xml:space="preserve">Retired methodologies shall remain available for verification and retirement of existing credits but shall not be available for new projects.</w:t>
      </w:r>
    </w:p>
    <w:p>
      <w:pPr>
        <w:spacing w:after="120"/>
      </w:pPr>
      <w:r>
        <w:rPr>
          <w:rFonts w:ascii="Arial" w:cs="Arial" w:eastAsia="Arial" w:hAnsi="Arial"/>
          <w:b/>
          <w:bCs/>
          <w:color w:val="1B4F72"/>
          <w:sz w:val="22"/>
          <w:szCs w:val="22"/>
        </w:rPr>
        <w:t xml:space="preserve">0115  </w:t>
      </w:r>
      <w:r>
        <w:rPr>
          <w:rFonts w:ascii="Arial" w:cs="Arial" w:eastAsia="Arial" w:hAnsi="Arial"/>
          <w:sz w:val="22"/>
          <w:szCs w:val="22"/>
        </w:rPr>
        <w:t xml:space="preserve">Methodology retirement shall be publicly announced with at least 180 days' notice.</w:t>
      </w:r>
    </w:p>
    <w:p>
      <w:pPr>
        <w:spacing w:after="120"/>
      </w:pPr>
      <w:r>
        <w:rPr>
          <w:rFonts w:ascii="Arial" w:cs="Arial" w:eastAsia="Arial" w:hAnsi="Arial"/>
          <w:b/>
          <w:bCs/>
          <w:color w:val="1B4F72"/>
          <w:sz w:val="22"/>
          <w:szCs w:val="22"/>
        </w:rPr>
        <w:t xml:space="preserve">0116  </w:t>
      </w:r>
      <w:r>
        <w:rPr>
          <w:rFonts w:ascii="Arial" w:cs="Arial" w:eastAsia="Arial" w:hAnsi="Arial"/>
          <w:sz w:val="22"/>
          <w:szCs w:val="22"/>
        </w:rPr>
        <w:t xml:space="preserve">A retired methodology shall be archived in the MCC Methodology Registry with full version history.</w:t>
      </w:r>
    </w:p>
    <w:p>
      <w:r>
        <w:br w:type="page"/>
      </w:r>
    </w:p>
    <w:p>
      <w:pPr>
        <w:pStyle w:val="Heading1"/>
        <w:spacing w:before="360" w:after="240"/>
      </w:pPr>
      <w:r>
        <w:rPr>
          <w:rFonts w:ascii="Arial" w:cs="Arial" w:eastAsia="Arial" w:hAnsi="Arial"/>
          <w:b/>
          <w:bCs/>
          <w:color w:val="1B4F72"/>
          <w:sz w:val="32"/>
          <w:szCs w:val="32"/>
        </w:rPr>
        <w:t xml:space="preserve">LOCKED METHODOLOGY PORTFOLIO</w:t>
      </w:r>
    </w:p>
    <w:p>
      <w:pPr>
        <w:spacing w:after="120"/>
      </w:pPr>
      <w:r>
        <w:rPr>
          <w:rFonts w:ascii="Arial" w:cs="Arial" w:eastAsia="Arial" w:hAnsi="Arial"/>
          <w:b/>
          <w:bCs/>
          <w:color w:val="1B4F72"/>
          <w:sz w:val="22"/>
          <w:szCs w:val="22"/>
        </w:rPr>
        <w:t xml:space="preserve">0117  </w:t>
      </w:r>
      <w:r>
        <w:rPr>
          <w:rFonts w:ascii="Arial" w:cs="Arial" w:eastAsia="Arial" w:hAnsi="Arial"/>
          <w:sz w:val="22"/>
          <w:szCs w:val="22"/>
        </w:rPr>
        <w:t xml:space="preserve">MCC shall maintain a 'locked' portfolio of ten core methodologies (M001 through M010) that form the foundation of the MCC credit system.</w:t>
      </w:r>
    </w:p>
    <w:p>
      <w:pPr>
        <w:spacing w:after="120"/>
      </w:pPr>
      <w:r>
        <w:rPr>
          <w:rFonts w:ascii="Arial" w:cs="Arial" w:eastAsia="Arial" w:hAnsi="Arial"/>
          <w:b/>
          <w:bCs/>
          <w:color w:val="1B4F72"/>
          <w:sz w:val="22"/>
          <w:szCs w:val="22"/>
        </w:rPr>
        <w:t xml:space="preserve">0118  </w:t>
      </w:r>
      <w:r>
        <w:rPr>
          <w:rFonts w:ascii="Arial" w:cs="Arial" w:eastAsia="Arial" w:hAnsi="Arial"/>
          <w:sz w:val="22"/>
          <w:szCs w:val="22"/>
        </w:rPr>
        <w:t xml:space="preserve">Locked methodologies shall be designated as foundational and shall not be retired without Board supermajority approval and 24-month notice.</w:t>
      </w:r>
    </w:p>
    <w:p>
      <w:pPr>
        <w:spacing w:after="120"/>
      </w:pPr>
      <w:r>
        <w:rPr>
          <w:rFonts w:ascii="Arial" w:cs="Arial" w:eastAsia="Arial" w:hAnsi="Arial"/>
          <w:b/>
          <w:bCs/>
          <w:color w:val="1B4F72"/>
          <w:sz w:val="22"/>
          <w:szCs w:val="22"/>
        </w:rPr>
        <w:t xml:space="preserve">0119  </w:t>
      </w:r>
      <w:r>
        <w:rPr>
          <w:rFonts w:ascii="Arial" w:cs="Arial" w:eastAsia="Arial" w:hAnsi="Arial"/>
          <w:sz w:val="22"/>
          <w:szCs w:val="22"/>
        </w:rPr>
        <w:t xml:space="preserve">Locked methodologies may be revised in accordance with Section 8, subject to heightened scrutiny and stakeholder engagement.</w:t>
      </w:r>
    </w:p>
    <w:p>
      <w:pPr>
        <w:spacing w:after="120"/>
      </w:pPr>
      <w:r>
        <w:rPr>
          <w:rFonts w:ascii="Arial" w:cs="Arial" w:eastAsia="Arial" w:hAnsi="Arial"/>
          <w:b/>
          <w:bCs/>
          <w:color w:val="1B4F72"/>
          <w:sz w:val="22"/>
          <w:szCs w:val="22"/>
        </w:rPr>
        <w:t xml:space="preserve">0120  </w:t>
      </w:r>
      <w:r>
        <w:rPr>
          <w:rFonts w:ascii="Arial" w:cs="Arial" w:eastAsia="Arial" w:hAnsi="Arial"/>
          <w:sz w:val="22"/>
          <w:szCs w:val="22"/>
        </w:rPr>
        <w:t xml:space="preserve">The locked portfolio shall comprise: M001 (Mangrove Restoration and Sequestration), M002 (Seagrass Meadow Establishment and Sequestration), M003 (Kelp Forest Cultivation and Sequestration), M004 (Coral Reef Restoration and Sequestration), M005 (Mangrove Protection and Stock Preservation), M006 (Seagrass Meadow Protection and Stock Preservation), M007 (Marine Protected Area Establishment and Biodiversity Conservation), M008 (Marine Plastic Pollution Prevention), M009 (Ship-Based Ballast Water Treatment and Species Invasion Prevention), and M010 (Upstream Plastic Waste Prevention and Diversion).</w:t>
      </w:r>
    </w:p>
    <w:p>
      <w:pPr>
        <w:spacing w:after="120"/>
      </w:pPr>
      <w:r>
        <w:rPr>
          <w:rFonts w:ascii="Arial" w:cs="Arial" w:eastAsia="Arial" w:hAnsi="Arial"/>
          <w:b/>
          <w:bCs/>
          <w:color w:val="1B4F72"/>
          <w:sz w:val="22"/>
          <w:szCs w:val="22"/>
        </w:rPr>
        <w:t xml:space="preserve">0121  </w:t>
      </w:r>
      <w:r>
        <w:rPr>
          <w:rFonts w:ascii="Arial" w:cs="Arial" w:eastAsia="Arial" w:hAnsi="Arial"/>
          <w:sz w:val="22"/>
          <w:szCs w:val="22"/>
        </w:rPr>
        <w:t xml:space="preserve">Each locked methodology shall have a unique code, name, family assignment, credit type, complete module set, and current status.</w:t>
      </w:r>
    </w:p>
    <w:p>
      <w:pPr>
        <w:spacing w:after="120"/>
      </w:pPr>
      <w:r>
        <w:rPr>
          <w:rFonts w:ascii="Arial" w:cs="Arial" w:eastAsia="Arial" w:hAnsi="Arial"/>
          <w:b/>
          <w:bCs/>
          <w:color w:val="1B4F72"/>
          <w:sz w:val="22"/>
          <w:szCs w:val="22"/>
        </w:rPr>
        <w:t xml:space="preserve">0122  </w:t>
      </w:r>
      <w:r>
        <w:rPr>
          <w:rFonts w:ascii="Arial" w:cs="Arial" w:eastAsia="Arial" w:hAnsi="Arial"/>
          <w:sz w:val="22"/>
          <w:szCs w:val="22"/>
        </w:rPr>
        <w:t xml:space="preserve">All locked methodologies shall be version controlled, and all versions shall be publicly archived.</w:t>
      </w:r>
    </w:p>
    <w:p>
      <w:pPr>
        <w:spacing w:after="120"/>
      </w:pPr>
      <w:r>
        <w:rPr>
          <w:rFonts w:ascii="Arial" w:cs="Arial" w:eastAsia="Arial" w:hAnsi="Arial"/>
          <w:b/>
          <w:bCs/>
          <w:color w:val="1B4F72"/>
          <w:sz w:val="22"/>
          <w:szCs w:val="22"/>
        </w:rPr>
        <w:t xml:space="preserve">0123  </w:t>
      </w:r>
      <w:r>
        <w:rPr>
          <w:rFonts w:ascii="Arial" w:cs="Arial" w:eastAsia="Arial" w:hAnsi="Arial"/>
          <w:sz w:val="22"/>
          <w:szCs w:val="22"/>
        </w:rPr>
        <w:t xml:space="preserve">The locked portfolio shall be reviewed annually by the Board to assess adequacy, identify gaps, and recommend new methodologies if needed.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Code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Methodology Name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Family</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Credit Type</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Module Set</w:t>
            </w:r>
          </w:p>
        </w:tc>
        <w:tc>
          <w:tcPr>
            <w:tcW w:type="dxa" w:w="156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Status</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M001</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Mangrove Restoration and Sequestration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MCC-F01</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MCC-CC</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Seagrass Meadow Establishment and Sequestration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MCC-CC</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M003</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Kelp Forest Cultivation and Sequestration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MCC-F01</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MCC-CC</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Coral Reef Restoration and Sequestration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MCC-CC</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M005</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Mangrove Protection and Stock Preservation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MCC-F02</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MCC-HYB</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Seagrass Meadow Protection and Stock Preservation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MCC-HYB</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M007</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Marine Protected Area Establishment and Biodiversity Conservation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MCC-F03</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MCC-HYB</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M008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Marine Plastic Pollution Prevention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MCC-MCU</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M009</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Ship-Based Ballast Water Treatment and Species Invasion Prevention</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MCC-F04</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MCC-MCU</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Active</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M010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Upstream Plastic Waste Prevention and Diversion</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MCC-F05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MCC-MCU</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MOD-01 to MOD-10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Active</w:t>
            </w:r>
          </w:p>
        </w:tc>
      </w:tr>
    </w:tbl>
    <w:p>
      <w:pPr>
        <w:spacing w:after="200"/>
      </w:pP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Marine Conservation Credits |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6" w:space="1"/>
      </w:pBdr>
      <w:jc w:val="right"/>
    </w:pPr>
    <w:r>
      <w:rPr>
        <w:rFonts w:ascii="Arial" w:cs="Arial" w:eastAsia="Arial" w:hAnsi="Arial"/>
        <w:color w:val="2E86C1"/>
        <w:sz w:val="18"/>
        <w:szCs w:val="18"/>
      </w:rPr>
      <w:t xml:space="preserve">MCC-200 Methodology Framework v2.0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1B4F72"/>
      <w:sz w:val="32"/>
      <w:szCs w:val="32"/>
    </w:rPr>
  </w:style>
  <w:style w:type="paragraph" w:styleId="Heading2">
    <w:name w:val="Heading 2"/>
    <w:basedOn w:val="Normal"/>
    <w:next w:val="Normal"/>
    <w:qFormat/>
    <w:pPr>
      <w:spacing w:before="240" w:after="160"/>
      <w:outlineLvl w:val="1"/>
    </w:pPr>
    <w:rPr>
      <w:rFonts w:ascii="Arial" w:cs="Arial" w:eastAsia="Arial" w:hAnsi="Arial"/>
      <w:b/>
      <w:bCs/>
      <w:color w:val="2E86C1"/>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2026-03-21T13:26:33.922Z</dcterms:created>
  <dcterms:modified xsi:type="dcterms:W3CDTF">2026-03-21T13:26:33.922Z</dcterms:modified>
</cp:coreProperties>
</file>

<file path=docProps/custom.xml><?xml version="1.0" encoding="utf-8"?>
<Properties xmlns="http://schemas.openxmlformats.org/officeDocument/2006/custom-properties" xmlns:vt="http://schemas.openxmlformats.org/officeDocument/2006/docPropsVTypes"/>
</file>