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before="4000"/>
        <w:jc w:val="center"/>
      </w:pPr>
      <w:r>
        <w:rPr>
          <w:rFonts w:ascii="Arial" w:cs="Arial" w:eastAsia="Arial" w:hAnsi="Arial"/>
          <w:b/>
          <w:bCs/>
          <w:color w:val="1B4F72"/>
          <w:sz w:val="44"/>
          <w:szCs w:val="44"/>
        </w:rPr>
        <w:t xml:space="preserve">MARINE CONSERVATION CREDITS</w:t>
      </w:r>
    </w:p>
    <w:p>
      <w:pPr>
        <w:jc w:val="center"/>
      </w:pPr>
      <w:r>
        <w:rPr>
          <w:rFonts w:ascii="Arial" w:cs="Arial" w:eastAsia="Arial" w:hAnsi="Arial"/>
          <w:color w:val="2E86C1"/>
          <w:sz w:val="36"/>
          <w:szCs w:val="36"/>
        </w:rPr>
        <w:t xml:space="preserve">MCC-001 Charter and Constitution v2.0</w:t>
      </w:r>
    </w:p>
    <w:p>
      <w:pPr>
        <w:spacing w:before="400"/>
        <w:jc w:val="center"/>
      </w:pPr>
      <w:r>
        <w:rPr>
          <w:rFonts w:ascii="Arial" w:cs="Arial" w:eastAsia="Arial" w:hAnsi="Arial"/>
          <w:color w:val="666666"/>
          <w:sz w:val="22"/>
          <w:szCs w:val="22"/>
        </w:rPr>
        <w:t xml:space="preserve">Revised to integrate Environmental and Social Safeguards, Sustainable Development</w:t>
      </w:r>
    </w:p>
    <w:p>
      <w:pPr>
        <w:jc w:val="center"/>
      </w:pPr>
      <w:r>
        <w:rPr>
          <w:rFonts w:ascii="Arial" w:cs="Arial" w:eastAsia="Arial" w:hAnsi="Arial"/>
          <w:color w:val="666666"/>
          <w:sz w:val="22"/>
          <w:szCs w:val="22"/>
        </w:rPr>
        <w:t xml:space="preserve">Contribution, Host Country Authorisation, Corresponding Adjustments, Buffer Pool, and Operational Roadmap</w:t>
      </w:r>
    </w:p>
    <w:p>
      <w:pPr>
        <w:spacing w:before="400"/>
        <w:jc w:val="center"/>
      </w:pPr>
      <w:r>
        <w:rPr>
          <w:rFonts w:ascii="Arial" w:cs="Arial" w:eastAsia="Arial" w:hAnsi="Arial"/>
          <w:b/>
          <w:bCs/>
          <w:color w:val="27AE60"/>
          <w:sz w:val="22"/>
          <w:szCs w:val="22"/>
        </w:rPr>
        <w:t xml:space="preserve">Date: March 2026 | Status: APPROVED</w:t>
      </w:r>
    </w:p>
    <w:p>
      <w:r>
        <w:br w:type="page"/>
      </w:r>
    </w:p>
    <w:p>
      <w:pPr>
        <w:pStyle w:val="Heading1"/>
      </w:pPr>
      <w:r>
        <w:rPr>
          <w:rFonts w:ascii="Arial" w:cs="Arial" w:eastAsia="Arial" w:hAnsi="Arial"/>
          <w:b/>
          <w:bCs/>
          <w:sz w:val="32"/>
          <w:szCs w:val="32"/>
        </w:rPr>
        <w:t xml:space="preserve">Table of Contents</w:t>
      </w:r>
    </w:p>
    <w:sdt>
      <w:sdtPr>
        <w:alias w:val="TOC"/>
      </w:sdtPr>
      <w:sdtContent>
        <w:p>
          <w:r>
            <w:fldChar w:fldCharType="begin" w:dirty="true"/>
            <w:instrText xml:space="preserve">TOC \h \o "1-2"</w:instrText>
            <w:fldChar w:fldCharType="separate"/>
          </w:r>
        </w:p>
        <w:p>
          <w:r>
            <w:fldChar w:fldCharType="end"/>
          </w:r>
        </w:p>
      </w:sdtContent>
    </w:sdt>
    <w:p>
      <w:r>
        <w:br w:type="page"/>
      </w:r>
    </w:p>
    <w:p>
      <w:pPr>
        <w:pStyle w:val="Heading1"/>
        <w:spacing w:before="360" w:after="240"/>
      </w:pPr>
      <w:r>
        <w:rPr>
          <w:rFonts w:ascii="Arial" w:cs="Arial" w:eastAsia="Arial" w:hAnsi="Arial"/>
          <w:b/>
          <w:bCs/>
          <w:color w:val="1B4F72"/>
          <w:sz w:val="32"/>
          <w:szCs w:val="32"/>
        </w:rPr>
        <w:t xml:space="preserve">ESTABLISHMENT AND MISSION</w:t>
      </w:r>
    </w:p>
    <w:p>
      <w:pPr>
        <w:spacing w:after="120"/>
      </w:pPr>
      <w:r>
        <w:rPr>
          <w:rFonts w:ascii="Arial" w:cs="Arial" w:eastAsia="Arial" w:hAnsi="Arial"/>
          <w:b/>
          <w:bCs/>
          <w:color w:val="1B4F72"/>
          <w:sz w:val="22"/>
          <w:szCs w:val="22"/>
        </w:rPr>
        <w:t xml:space="preserve">0001  </w:t>
      </w:r>
      <w:r>
        <w:rPr>
          <w:rFonts w:ascii="Arial" w:cs="Arial" w:eastAsia="Arial" w:hAnsi="Arial"/>
          <w:sz w:val="22"/>
          <w:szCs w:val="22"/>
        </w:rPr>
        <w:t xml:space="preserve">The Marine Conservation Credits (MCC) programme is hereby established as an independent, ocean-scoped environmental credit programme.</w:t>
      </w:r>
    </w:p>
    <w:p>
      <w:pPr>
        <w:spacing w:after="120"/>
      </w:pPr>
      <w:r>
        <w:rPr>
          <w:rFonts w:ascii="Arial" w:cs="Arial" w:eastAsia="Arial" w:hAnsi="Arial"/>
          <w:b/>
          <w:bCs/>
          <w:color w:val="1B4F72"/>
          <w:sz w:val="22"/>
          <w:szCs w:val="22"/>
        </w:rPr>
        <w:t xml:space="preserve">0002  </w:t>
      </w:r>
      <w:r>
        <w:rPr>
          <w:rFonts w:ascii="Arial" w:cs="Arial" w:eastAsia="Arial" w:hAnsi="Arial"/>
          <w:sz w:val="22"/>
          <w:szCs w:val="22"/>
        </w:rPr>
        <w:t xml:space="preserve">MCC shall operate with the mission to develop, administer, and govern a credible, transparent, and scientifically rigorous system for issuing marine environmental credits.</w:t>
      </w:r>
    </w:p>
    <w:p>
      <w:pPr>
        <w:spacing w:after="120"/>
      </w:pPr>
      <w:r>
        <w:rPr>
          <w:rFonts w:ascii="Arial" w:cs="Arial" w:eastAsia="Arial" w:hAnsi="Arial"/>
          <w:b/>
          <w:bCs/>
          <w:color w:val="1B4F72"/>
          <w:sz w:val="22"/>
          <w:szCs w:val="22"/>
        </w:rPr>
        <w:t xml:space="preserve">0003  </w:t>
      </w:r>
      <w:r>
        <w:rPr>
          <w:rFonts w:ascii="Arial" w:cs="Arial" w:eastAsia="Arial" w:hAnsi="Arial"/>
          <w:sz w:val="22"/>
          <w:szCs w:val="22"/>
        </w:rPr>
        <w:t xml:space="preserve">MCC credits shall represent verified, independently validated contributions to marine environmental outcomes including blue carbon sequestration, blue carbon protection, marine ecosystem conservation, and marine pollution prevention.</w:t>
      </w:r>
    </w:p>
    <w:p>
      <w:pPr>
        <w:spacing w:after="120"/>
      </w:pPr>
      <w:r>
        <w:rPr>
          <w:rFonts w:ascii="Arial" w:cs="Arial" w:eastAsia="Arial" w:hAnsi="Arial"/>
          <w:b/>
          <w:bCs/>
          <w:color w:val="1B4F72"/>
          <w:sz w:val="22"/>
          <w:szCs w:val="22"/>
        </w:rPr>
        <w:t xml:space="preserve">0004  </w:t>
      </w:r>
      <w:r>
        <w:rPr>
          <w:rFonts w:ascii="Arial" w:cs="Arial" w:eastAsia="Arial" w:hAnsi="Arial"/>
          <w:sz w:val="22"/>
          <w:szCs w:val="22"/>
        </w:rPr>
        <w:t xml:space="preserve">The MCC programme shall serve as a global registry and governance structure for marine environmental credits and shall establish the standards, methodologies, and operational procedures governing credit issuance, trading, and retirement.</w:t>
      </w:r>
    </w:p>
    <w:p>
      <w:pPr>
        <w:spacing w:after="120"/>
      </w:pPr>
      <w:r>
        <w:rPr>
          <w:rFonts w:ascii="Arial" w:cs="Arial" w:eastAsia="Arial" w:hAnsi="Arial"/>
          <w:b/>
          <w:bCs/>
          <w:color w:val="1B4F72"/>
          <w:sz w:val="22"/>
          <w:szCs w:val="22"/>
        </w:rPr>
        <w:t xml:space="preserve">0005  </w:t>
      </w:r>
      <w:r>
        <w:rPr>
          <w:rFonts w:ascii="Arial" w:cs="Arial" w:eastAsia="Arial" w:hAnsi="Arial"/>
          <w:sz w:val="22"/>
          <w:szCs w:val="22"/>
        </w:rPr>
        <w:t xml:space="preserve">MCC shall be open to project developers, host countries, verifying bodies, credit buyers, and other stakeholders operating in marine conservation and climate mitigation.</w:t>
      </w:r>
    </w:p>
    <w:p>
      <w:pPr>
        <w:spacing w:after="120"/>
      </w:pPr>
      <w:r>
        <w:rPr>
          <w:rFonts w:ascii="Arial" w:cs="Arial" w:eastAsia="Arial" w:hAnsi="Arial"/>
          <w:b/>
          <w:bCs/>
          <w:color w:val="1B4F72"/>
          <w:sz w:val="22"/>
          <w:szCs w:val="22"/>
        </w:rPr>
        <w:t xml:space="preserve">0006  </w:t>
      </w:r>
      <w:r>
        <w:rPr>
          <w:rFonts w:ascii="Arial" w:cs="Arial" w:eastAsia="Arial" w:hAnsi="Arial"/>
          <w:sz w:val="22"/>
          <w:szCs w:val="22"/>
        </w:rPr>
        <w:t xml:space="preserve">The MCC programme shall be guided by scientific rigor, environmental integrity, transparency, and human accountability.</w:t>
      </w:r>
    </w:p>
    <w:p>
      <w:pPr>
        <w:spacing w:after="120"/>
      </w:pPr>
      <w:r>
        <w:rPr>
          <w:rFonts w:ascii="Arial" w:cs="Arial" w:eastAsia="Arial" w:hAnsi="Arial"/>
          <w:b/>
          <w:bCs/>
          <w:color w:val="1B4F72"/>
          <w:sz w:val="22"/>
          <w:szCs w:val="22"/>
        </w:rPr>
        <w:t xml:space="preserve">0007  </w:t>
      </w:r>
      <w:r>
        <w:rPr>
          <w:rFonts w:ascii="Arial" w:cs="Arial" w:eastAsia="Arial" w:hAnsi="Arial"/>
          <w:sz w:val="22"/>
          <w:szCs w:val="22"/>
        </w:rPr>
        <w:t xml:space="preserve">MCC credits shall not be issued unless they meet all requirements of the MCC Charter, applicable methodologies, and all applicable cross-cutting frameworks.</w:t>
      </w:r>
    </w:p>
    <w:p>
      <w:pPr>
        <w:spacing w:after="120"/>
      </w:pPr>
      <w:r>
        <w:rPr>
          <w:rFonts w:ascii="Arial" w:cs="Arial" w:eastAsia="Arial" w:hAnsi="Arial"/>
          <w:b/>
          <w:bCs/>
          <w:color w:val="1B4F72"/>
          <w:sz w:val="22"/>
          <w:szCs w:val="22"/>
        </w:rPr>
        <w:t xml:space="preserve">0008  </w:t>
      </w:r>
      <w:r>
        <w:rPr>
          <w:rFonts w:ascii="Arial" w:cs="Arial" w:eastAsia="Arial" w:hAnsi="Arial"/>
          <w:sz w:val="22"/>
          <w:szCs w:val="22"/>
        </w:rPr>
        <w:t xml:space="preserve">All operations of MCC shall be conducted in accordance with this Charter and shall be subject to public scrutiny and independent oversight.</w:t>
      </w:r>
    </w:p>
    <w:p>
      <w:pPr>
        <w:spacing w:after="120"/>
      </w:pPr>
      <w:r>
        <w:rPr>
          <w:rFonts w:ascii="Arial" w:cs="Arial" w:eastAsia="Arial" w:hAnsi="Arial"/>
          <w:b/>
          <w:bCs/>
          <w:color w:val="1B4F72"/>
          <w:sz w:val="22"/>
          <w:szCs w:val="22"/>
        </w:rPr>
        <w:t xml:space="preserve">0009  </w:t>
      </w:r>
      <w:r>
        <w:rPr>
          <w:rFonts w:ascii="Arial" w:cs="Arial" w:eastAsia="Arial" w:hAnsi="Arial"/>
          <w:sz w:val="22"/>
          <w:szCs w:val="22"/>
        </w:rPr>
        <w:t xml:space="preserve">MCC shall maintain permanent, publicly accessible records of all credits issued, retired, and cancelled.</w:t>
      </w:r>
    </w:p>
    <w:p>
      <w:pPr>
        <w:spacing w:after="120"/>
      </w:pPr>
      <w:r>
        <w:rPr>
          <w:rFonts w:ascii="Arial" w:cs="Arial" w:eastAsia="Arial" w:hAnsi="Arial"/>
          <w:b/>
          <w:bCs/>
          <w:color w:val="1B4F72"/>
          <w:sz w:val="22"/>
          <w:szCs w:val="22"/>
        </w:rPr>
        <w:t xml:space="preserve">0010  </w:t>
      </w:r>
      <w:r>
        <w:rPr>
          <w:rFonts w:ascii="Arial" w:cs="Arial" w:eastAsia="Arial" w:hAnsi="Arial"/>
          <w:sz w:val="22"/>
          <w:szCs w:val="22"/>
        </w:rPr>
        <w:t xml:space="preserve">The MCC programme shall be reviewed and assessed periodically to ensure ongoing alignment with international best practices and evolving scientific understanding.</w:t>
      </w:r>
    </w:p>
    <w:p>
      <w:r>
        <w:br w:type="page"/>
      </w:r>
    </w:p>
    <w:p>
      <w:pPr>
        <w:pStyle w:val="Heading1"/>
        <w:spacing w:before="360" w:after="240"/>
      </w:pPr>
      <w:r>
        <w:rPr>
          <w:rFonts w:ascii="Arial" w:cs="Arial" w:eastAsia="Arial" w:hAnsi="Arial"/>
          <w:b/>
          <w:bCs/>
          <w:color w:val="1B4F72"/>
          <w:sz w:val="32"/>
          <w:szCs w:val="32"/>
        </w:rPr>
        <w:t xml:space="preserve">INSTITUTIONAL IDENTITY</w:t>
      </w:r>
    </w:p>
    <w:p>
      <w:pPr>
        <w:spacing w:after="120"/>
      </w:pPr>
      <w:r>
        <w:rPr>
          <w:rFonts w:ascii="Arial" w:cs="Arial" w:eastAsia="Arial" w:hAnsi="Arial"/>
          <w:b/>
          <w:bCs/>
          <w:color w:val="1B4F72"/>
          <w:sz w:val="22"/>
          <w:szCs w:val="22"/>
        </w:rPr>
        <w:t xml:space="preserve">0011  </w:t>
      </w:r>
      <w:r>
        <w:rPr>
          <w:rFonts w:ascii="Arial" w:cs="Arial" w:eastAsia="Arial" w:hAnsi="Arial"/>
          <w:sz w:val="22"/>
          <w:szCs w:val="22"/>
        </w:rPr>
        <w:t xml:space="preserve">MCC shall operate as an integrated standard-setting body, registry operator, and programme administrator, with three distinct operational functions that are structurally integrated but governancely separated.</w:t>
      </w:r>
    </w:p>
    <w:p>
      <w:pPr>
        <w:spacing w:after="120"/>
      </w:pPr>
      <w:r>
        <w:rPr>
          <w:rFonts w:ascii="Arial" w:cs="Arial" w:eastAsia="Arial" w:hAnsi="Arial"/>
          <w:b/>
          <w:bCs/>
          <w:color w:val="1B4F72"/>
          <w:sz w:val="22"/>
          <w:szCs w:val="22"/>
        </w:rPr>
        <w:t xml:space="preserve">0012  </w:t>
      </w:r>
      <w:r>
        <w:rPr>
          <w:rFonts w:ascii="Arial" w:cs="Arial" w:eastAsia="Arial" w:hAnsi="Arial"/>
          <w:sz w:val="22"/>
          <w:szCs w:val="22"/>
        </w:rPr>
        <w:t xml:space="preserve">The Standard-Setting Function shall encompass the development, approval, and maintenance of MCC methodologies, programme rules, safeguards frameworks, and cross-cutting policy frameworks.</w:t>
      </w:r>
    </w:p>
    <w:p>
      <w:pPr>
        <w:spacing w:after="120"/>
      </w:pPr>
      <w:r>
        <w:rPr>
          <w:rFonts w:ascii="Arial" w:cs="Arial" w:eastAsia="Arial" w:hAnsi="Arial"/>
          <w:b/>
          <w:bCs/>
          <w:color w:val="1B4F72"/>
          <w:sz w:val="22"/>
          <w:szCs w:val="22"/>
        </w:rPr>
        <w:t xml:space="preserve">0013  </w:t>
      </w:r>
      <w:r>
        <w:rPr>
          <w:rFonts w:ascii="Arial" w:cs="Arial" w:eastAsia="Arial" w:hAnsi="Arial"/>
          <w:sz w:val="22"/>
          <w:szCs w:val="22"/>
        </w:rPr>
        <w:t xml:space="preserve">The Standard-Setting Function shall be vested in the Methodology Review Committee and shall be overseen by the MCC Board.</w:t>
      </w:r>
    </w:p>
    <w:p>
      <w:pPr>
        <w:spacing w:after="120"/>
      </w:pPr>
      <w:r>
        <w:rPr>
          <w:rFonts w:ascii="Arial" w:cs="Arial" w:eastAsia="Arial" w:hAnsi="Arial"/>
          <w:b/>
          <w:bCs/>
          <w:color w:val="1B4F72"/>
          <w:sz w:val="22"/>
          <w:szCs w:val="22"/>
        </w:rPr>
        <w:t xml:space="preserve">0014  </w:t>
      </w:r>
      <w:r>
        <w:rPr>
          <w:rFonts w:ascii="Arial" w:cs="Arial" w:eastAsia="Arial" w:hAnsi="Arial"/>
          <w:sz w:val="22"/>
          <w:szCs w:val="22"/>
        </w:rPr>
        <w:t xml:space="preserve">The Registry Operator Function shall encompass the technical operation of the MCC credit registry, including serialisation of issued credits, maintenance of the public registry, tracking of retired credits, and provision of transparent, publicly accessible data on all credits and transactions.</w:t>
      </w:r>
    </w:p>
    <w:p>
      <w:pPr>
        <w:spacing w:after="120"/>
      </w:pPr>
      <w:r>
        <w:rPr>
          <w:rFonts w:ascii="Arial" w:cs="Arial" w:eastAsia="Arial" w:hAnsi="Arial"/>
          <w:b/>
          <w:bCs/>
          <w:color w:val="1B4F72"/>
          <w:sz w:val="22"/>
          <w:szCs w:val="22"/>
        </w:rPr>
        <w:t xml:space="preserve">0015  </w:t>
      </w:r>
      <w:r>
        <w:rPr>
          <w:rFonts w:ascii="Arial" w:cs="Arial" w:eastAsia="Arial" w:hAnsi="Arial"/>
          <w:sz w:val="22"/>
          <w:szCs w:val="22"/>
        </w:rPr>
        <w:t xml:space="preserve">The Registry Operator Function shall be vested in the Registry Operations Team and shall be subject to independent audit and assurance.</w:t>
      </w:r>
    </w:p>
    <w:p>
      <w:pPr>
        <w:spacing w:after="120"/>
      </w:pPr>
      <w:r>
        <w:rPr>
          <w:rFonts w:ascii="Arial" w:cs="Arial" w:eastAsia="Arial" w:hAnsi="Arial"/>
          <w:b/>
          <w:bCs/>
          <w:color w:val="1B4F72"/>
          <w:sz w:val="22"/>
          <w:szCs w:val="22"/>
        </w:rPr>
        <w:t xml:space="preserve">0016  </w:t>
      </w:r>
      <w:r>
        <w:rPr>
          <w:rFonts w:ascii="Arial" w:cs="Arial" w:eastAsia="Arial" w:hAnsi="Arial"/>
          <w:sz w:val="22"/>
          <w:szCs w:val="22"/>
        </w:rPr>
        <w:t xml:space="preserve">The Programme Administrator Function shall encompass project oversight, coordination with third-party validation and verification bodies (VVBs), compliance monitoring, safeguards oversight, and ongoing governance of active projects.</w:t>
      </w:r>
    </w:p>
    <w:p>
      <w:pPr>
        <w:spacing w:after="120"/>
      </w:pPr>
      <w:r>
        <w:rPr>
          <w:rFonts w:ascii="Arial" w:cs="Arial" w:eastAsia="Arial" w:hAnsi="Arial"/>
          <w:b/>
          <w:bCs/>
          <w:color w:val="1B4F72"/>
          <w:sz w:val="22"/>
          <w:szCs w:val="22"/>
        </w:rPr>
        <w:t xml:space="preserve">0017  </w:t>
      </w:r>
      <w:r>
        <w:rPr>
          <w:rFonts w:ascii="Arial" w:cs="Arial" w:eastAsia="Arial" w:hAnsi="Arial"/>
          <w:sz w:val="22"/>
          <w:szCs w:val="22"/>
        </w:rPr>
        <w:t xml:space="preserve">The Programme Administrator Function shall be vested in the Project Governance Team and shall be subject to Board oversight.</w:t>
      </w:r>
    </w:p>
    <w:p>
      <w:pPr>
        <w:spacing w:after="120"/>
      </w:pPr>
      <w:r>
        <w:rPr>
          <w:rFonts w:ascii="Arial" w:cs="Arial" w:eastAsia="Arial" w:hAnsi="Arial"/>
          <w:b/>
          <w:bCs/>
          <w:color w:val="1B4F72"/>
          <w:sz w:val="22"/>
          <w:szCs w:val="22"/>
        </w:rPr>
        <w:t xml:space="preserve">0018  </w:t>
      </w:r>
      <w:r>
        <w:rPr>
          <w:rFonts w:ascii="Arial" w:cs="Arial" w:eastAsia="Arial" w:hAnsi="Arial"/>
          <w:sz w:val="22"/>
          <w:szCs w:val="22"/>
        </w:rPr>
        <w:t xml:space="preserve">These three functions shall be operationally integrated to ensure consistency, transparency, and efficiency, but shall be governancely separated to prevent conflicts of interest.</w:t>
      </w:r>
    </w:p>
    <w:p>
      <w:pPr>
        <w:spacing w:after="120"/>
      </w:pPr>
      <w:r>
        <w:rPr>
          <w:rFonts w:ascii="Arial" w:cs="Arial" w:eastAsia="Arial" w:hAnsi="Arial"/>
          <w:b/>
          <w:bCs/>
          <w:color w:val="1B4F72"/>
          <w:sz w:val="22"/>
          <w:szCs w:val="22"/>
        </w:rPr>
        <w:t xml:space="preserve">0019  </w:t>
      </w:r>
      <w:r>
        <w:rPr>
          <w:rFonts w:ascii="Arial" w:cs="Arial" w:eastAsia="Arial" w:hAnsi="Arial"/>
          <w:sz w:val="22"/>
          <w:szCs w:val="22"/>
        </w:rPr>
        <w:t xml:space="preserve">No single individual, committee, or operational unit shall simultaneously hold decision-making authority within both Standard-Setting and Programme Administrator functions.</w:t>
      </w:r>
    </w:p>
    <w:p>
      <w:pPr>
        <w:spacing w:after="120"/>
      </w:pPr>
      <w:r>
        <w:rPr>
          <w:rFonts w:ascii="Arial" w:cs="Arial" w:eastAsia="Arial" w:hAnsi="Arial"/>
          <w:b/>
          <w:bCs/>
          <w:color w:val="1B4F72"/>
          <w:sz w:val="22"/>
          <w:szCs w:val="22"/>
        </w:rPr>
        <w:t xml:space="preserve">0020  </w:t>
      </w:r>
      <w:r>
        <w:rPr>
          <w:rFonts w:ascii="Arial" w:cs="Arial" w:eastAsia="Arial" w:hAnsi="Arial"/>
          <w:sz w:val="22"/>
          <w:szCs w:val="22"/>
        </w:rPr>
        <w:t xml:space="preserve">Standard-setting decisions shall establish rules and requirements for all projects; programme administration shall apply those rules consistently and transparently.</w:t>
      </w:r>
    </w:p>
    <w:p>
      <w:pPr>
        <w:spacing w:after="120"/>
      </w:pPr>
      <w:r>
        <w:rPr>
          <w:rFonts w:ascii="Arial" w:cs="Arial" w:eastAsia="Arial" w:hAnsi="Arial"/>
          <w:b/>
          <w:bCs/>
          <w:color w:val="1B4F72"/>
          <w:sz w:val="22"/>
          <w:szCs w:val="22"/>
        </w:rPr>
        <w:t xml:space="preserve">0021  </w:t>
      </w:r>
      <w:r>
        <w:rPr>
          <w:rFonts w:ascii="Arial" w:cs="Arial" w:eastAsia="Arial" w:hAnsi="Arial"/>
          <w:sz w:val="22"/>
          <w:szCs w:val="22"/>
        </w:rPr>
        <w:t xml:space="preserve">The governance separation principle shall preclude, for example, the same committee from both approving a methodology and subsequently approving individual projects under that methodology.</w:t>
      </w:r>
    </w:p>
    <w:p>
      <w:pPr>
        <w:spacing w:after="120"/>
      </w:pPr>
      <w:r>
        <w:rPr>
          <w:rFonts w:ascii="Arial" w:cs="Arial" w:eastAsia="Arial" w:hAnsi="Arial"/>
          <w:b/>
          <w:bCs/>
          <w:color w:val="1B4F72"/>
          <w:sz w:val="22"/>
          <w:szCs w:val="22"/>
        </w:rPr>
        <w:t xml:space="preserve">0022  </w:t>
      </w:r>
      <w:r>
        <w:rPr>
          <w:rFonts w:ascii="Arial" w:cs="Arial" w:eastAsia="Arial" w:hAnsi="Arial"/>
          <w:sz w:val="22"/>
          <w:szCs w:val="22"/>
        </w:rPr>
        <w:t xml:space="preserve">The MCC Board shall maintain oversight of all three functions and shall ensure appropriate governance separation, preventing any function from dominating decision-making.</w:t>
      </w:r>
    </w:p>
    <w:p>
      <w:pPr>
        <w:spacing w:after="120"/>
      </w:pPr>
      <w:r>
        <w:rPr>
          <w:rFonts w:ascii="Arial" w:cs="Arial" w:eastAsia="Arial" w:hAnsi="Arial"/>
          <w:b/>
          <w:bCs/>
          <w:color w:val="1B4F72"/>
          <w:sz w:val="22"/>
          <w:szCs w:val="22"/>
        </w:rPr>
        <w:t xml:space="preserve">0023  </w:t>
      </w:r>
      <w:r>
        <w:rPr>
          <w:rFonts w:ascii="Arial" w:cs="Arial" w:eastAsia="Arial" w:hAnsi="Arial"/>
          <w:sz w:val="22"/>
          <w:szCs w:val="22"/>
        </w:rPr>
        <w:t xml:space="preserve">Operational integration shall be achieved through shared information systems, regular inter-functional coordination meetings, and aligned strategic planning.</w:t>
      </w:r>
    </w:p>
    <w:p>
      <w:pPr>
        <w:spacing w:after="120"/>
      </w:pPr>
      <w:r>
        <w:rPr>
          <w:rFonts w:ascii="Arial" w:cs="Arial" w:eastAsia="Arial" w:hAnsi="Arial"/>
          <w:b/>
          <w:bCs/>
          <w:color w:val="1B4F72"/>
          <w:sz w:val="22"/>
          <w:szCs w:val="22"/>
        </w:rPr>
        <w:t xml:space="preserve">0024  </w:t>
      </w:r>
      <w:r>
        <w:rPr>
          <w:rFonts w:ascii="Arial" w:cs="Arial" w:eastAsia="Arial" w:hAnsi="Arial"/>
          <w:sz w:val="22"/>
          <w:szCs w:val="22"/>
        </w:rPr>
        <w:t xml:space="preserve">All three functions shall operate under the authority and accountability of the MCC Board and shall be subject to this Charter and the MCC governance structure defined in Section 4.</w:t>
      </w:r>
    </w:p>
    <w:p>
      <w:r>
        <w:br w:type="page"/>
      </w:r>
    </w:p>
    <w:p>
      <w:pPr>
        <w:pStyle w:val="Heading1"/>
        <w:spacing w:before="360" w:after="240"/>
      </w:pPr>
      <w:r>
        <w:rPr>
          <w:rFonts w:ascii="Arial" w:cs="Arial" w:eastAsia="Arial" w:hAnsi="Arial"/>
          <w:b/>
          <w:bCs/>
          <w:color w:val="1B4F72"/>
          <w:sz w:val="32"/>
          <w:szCs w:val="32"/>
        </w:rPr>
        <w:t xml:space="preserve">FUNDAMENTAL PRINCIPLES</w:t>
      </w:r>
    </w:p>
    <w:p>
      <w:pPr>
        <w:spacing w:after="120"/>
      </w:pPr>
      <w:r>
        <w:rPr>
          <w:rFonts w:ascii="Arial" w:cs="Arial" w:eastAsia="Arial" w:hAnsi="Arial"/>
          <w:b/>
          <w:bCs/>
          <w:color w:val="1B4F72"/>
          <w:sz w:val="22"/>
          <w:szCs w:val="22"/>
        </w:rPr>
        <w:t xml:space="preserve">0025  </w:t>
      </w:r>
      <w:r>
        <w:rPr>
          <w:rFonts w:ascii="Arial" w:cs="Arial" w:eastAsia="Arial" w:hAnsi="Arial"/>
          <w:sz w:val="22"/>
          <w:szCs w:val="22"/>
        </w:rPr>
        <w:t xml:space="preserve">MCC shall adhere to the following fundamental principles in all operations:</w:t>
      </w:r>
    </w:p>
    <w:p>
      <w:pPr>
        <w:spacing w:after="120"/>
      </w:pPr>
      <w:r>
        <w:rPr>
          <w:rFonts w:ascii="Arial" w:cs="Arial" w:eastAsia="Arial" w:hAnsi="Arial"/>
          <w:b/>
          <w:bCs/>
          <w:color w:val="1B4F72"/>
          <w:sz w:val="22"/>
          <w:szCs w:val="22"/>
        </w:rPr>
        <w:t xml:space="preserve">0026  </w:t>
      </w:r>
      <w:r>
        <w:rPr>
          <w:rFonts w:ascii="Arial" w:cs="Arial" w:eastAsia="Arial" w:hAnsi="Arial"/>
          <w:sz w:val="22"/>
          <w:szCs w:val="22"/>
        </w:rPr>
        <w:t xml:space="preserve">Marine Scope: MCC shall cover only marine and ocean-related environmental activities and shall not issue credits for terrestrial or freshwater activities.</w:t>
      </w:r>
    </w:p>
    <w:p>
      <w:pPr>
        <w:spacing w:after="120"/>
      </w:pPr>
      <w:r>
        <w:rPr>
          <w:rFonts w:ascii="Arial" w:cs="Arial" w:eastAsia="Arial" w:hAnsi="Arial"/>
          <w:b/>
          <w:bCs/>
          <w:color w:val="1B4F72"/>
          <w:sz w:val="22"/>
          <w:szCs w:val="22"/>
        </w:rPr>
        <w:t xml:space="preserve">0027  </w:t>
      </w:r>
      <w:r>
        <w:rPr>
          <w:rFonts w:ascii="Arial" w:cs="Arial" w:eastAsia="Arial" w:hAnsi="Arial"/>
          <w:sz w:val="22"/>
          <w:szCs w:val="22"/>
        </w:rPr>
        <w:t xml:space="preserve">Independent Verification: Independent third-party verification shall be mandatory for all credits issued by MCC, and no credit shall be issued without documented evidence of third-party validation and verification.</w:t>
      </w:r>
    </w:p>
    <w:p>
      <w:pPr>
        <w:spacing w:after="120"/>
      </w:pPr>
      <w:r>
        <w:rPr>
          <w:rFonts w:ascii="Arial" w:cs="Arial" w:eastAsia="Arial" w:hAnsi="Arial"/>
          <w:b/>
          <w:bCs/>
          <w:color w:val="1B4F72"/>
          <w:sz w:val="22"/>
          <w:szCs w:val="22"/>
        </w:rPr>
        <w:t xml:space="preserve">0028  </w:t>
      </w:r>
      <w:r>
        <w:rPr>
          <w:rFonts w:ascii="Arial" w:cs="Arial" w:eastAsia="Arial" w:hAnsi="Arial"/>
          <w:sz w:val="22"/>
          <w:szCs w:val="22"/>
        </w:rPr>
        <w:t xml:space="preserve">AI Assistive Only: MCC shall employ artificial intelligence and automated systems as assistive tools only, never as sovereign decision-makers. All final decisions regarding credit issuance, project approval, and safeguards compliance shall be made by human actors with documented accountability.</w:t>
      </w:r>
    </w:p>
    <w:p>
      <w:pPr>
        <w:spacing w:after="120"/>
      </w:pPr>
      <w:r>
        <w:rPr>
          <w:rFonts w:ascii="Arial" w:cs="Arial" w:eastAsia="Arial" w:hAnsi="Arial"/>
          <w:b/>
          <w:bCs/>
          <w:color w:val="1B4F72"/>
          <w:sz w:val="22"/>
          <w:szCs w:val="22"/>
        </w:rPr>
        <w:t xml:space="preserve">0029  </w:t>
      </w:r>
      <w:r>
        <w:rPr>
          <w:rFonts w:ascii="Arial" w:cs="Arial" w:eastAsia="Arial" w:hAnsi="Arial"/>
          <w:sz w:val="22"/>
          <w:szCs w:val="22"/>
        </w:rPr>
        <w:t xml:space="preserve">Human Accountability: Every material decision in the MCC system shall be traceable to a named individual or committee with explicit responsibility and accountability.</w:t>
      </w:r>
    </w:p>
    <w:p>
      <w:pPr>
        <w:spacing w:after="120"/>
      </w:pPr>
      <w:r>
        <w:rPr>
          <w:rFonts w:ascii="Arial" w:cs="Arial" w:eastAsia="Arial" w:hAnsi="Arial"/>
          <w:b/>
          <w:bCs/>
          <w:color w:val="1B4F72"/>
          <w:sz w:val="22"/>
          <w:szCs w:val="22"/>
        </w:rPr>
        <w:t xml:space="preserve">0030  </w:t>
      </w:r>
      <w:r>
        <w:rPr>
          <w:rFonts w:ascii="Arial" w:cs="Arial" w:eastAsia="Arial" w:hAnsi="Arial"/>
          <w:sz w:val="22"/>
          <w:szCs w:val="22"/>
        </w:rPr>
        <w:t xml:space="preserve">Full Public Transparency: All MCC methodologies, programme rules, decisions, credit registers, and performance data shall be publicly available and freely accessible.</w:t>
      </w:r>
    </w:p>
    <w:p>
      <w:pPr>
        <w:spacing w:after="120"/>
      </w:pPr>
      <w:r>
        <w:rPr>
          <w:rFonts w:ascii="Arial" w:cs="Arial" w:eastAsia="Arial" w:hAnsi="Arial"/>
          <w:b/>
          <w:bCs/>
          <w:color w:val="1B4F72"/>
          <w:sz w:val="22"/>
          <w:szCs w:val="22"/>
        </w:rPr>
        <w:t xml:space="preserve">0031  </w:t>
      </w:r>
      <w:r>
        <w:rPr>
          <w:rFonts w:ascii="Arial" w:cs="Arial" w:eastAsia="Arial" w:hAnsi="Arial"/>
          <w:sz w:val="22"/>
          <w:szCs w:val="22"/>
        </w:rPr>
        <w:t xml:space="preserve">Environmental and Social Safeguards Mandatory: All MCC methodologies and projects shall integrate environmental and social safeguards requirements in accordance with MCC-ESS-v1.0 (Environmental and Social Safeguards Standard), and credit issuance shall be conditioned on demonstrated safeguards compliance.</w:t>
      </w:r>
    </w:p>
    <w:p>
      <w:pPr>
        <w:spacing w:after="120"/>
      </w:pPr>
      <w:r>
        <w:rPr>
          <w:rFonts w:ascii="Arial" w:cs="Arial" w:eastAsia="Arial" w:hAnsi="Arial"/>
          <w:b/>
          <w:bCs/>
          <w:color w:val="1B4F72"/>
          <w:sz w:val="22"/>
          <w:szCs w:val="22"/>
        </w:rPr>
        <w:t xml:space="preserve">0032  </w:t>
      </w:r>
      <w:r>
        <w:rPr>
          <w:rFonts w:ascii="Arial" w:cs="Arial" w:eastAsia="Arial" w:hAnsi="Arial"/>
          <w:sz w:val="22"/>
          <w:szCs w:val="22"/>
        </w:rPr>
        <w:t xml:space="preserve">Sustainable Development Contribution Mandatory: All MCC methodologies and projects shall integrate sustainable development assessment in accordance with MCC-SDCF-v1.0 (Sustainable Development Contribution Framework), and sustainable development contributions shall be measured, reported, and made publicly transparent.</w:t>
      </w:r>
    </w:p>
    <w:p>
      <w:pPr>
        <w:spacing w:after="120"/>
      </w:pPr>
      <w:r>
        <w:rPr>
          <w:rFonts w:ascii="Arial" w:cs="Arial" w:eastAsia="Arial" w:hAnsi="Arial"/>
          <w:b/>
          <w:bCs/>
          <w:color w:val="1B4F72"/>
          <w:sz w:val="22"/>
          <w:szCs w:val="22"/>
        </w:rPr>
        <w:t xml:space="preserve">0033  </w:t>
      </w:r>
      <w:r>
        <w:rPr>
          <w:rFonts w:ascii="Arial" w:cs="Arial" w:eastAsia="Arial" w:hAnsi="Arial"/>
          <w:sz w:val="22"/>
          <w:szCs w:val="22"/>
        </w:rPr>
        <w:t xml:space="preserve">Double Counting Prevention Mandatory: All MCC methodologies and projects shall incorporate double counting prevention requirements in accordance with MCC-CADCP-v1.0 (Corresponding Adjustment and Double Counting Prevention Framework), and no credit shall be issued where overlapping credits or regulatory compliance claims exist.</w:t>
      </w:r>
    </w:p>
    <w:p>
      <w:pPr>
        <w:spacing w:after="120"/>
      </w:pPr>
      <w:r>
        <w:rPr>
          <w:rFonts w:ascii="Arial" w:cs="Arial" w:eastAsia="Arial" w:hAnsi="Arial"/>
          <w:b/>
          <w:bCs/>
          <w:color w:val="1B4F72"/>
          <w:sz w:val="22"/>
          <w:szCs w:val="22"/>
        </w:rPr>
        <w:t xml:space="preserve">0034  </w:t>
      </w:r>
      <w:r>
        <w:rPr>
          <w:rFonts w:ascii="Arial" w:cs="Arial" w:eastAsia="Arial" w:hAnsi="Arial"/>
          <w:sz w:val="22"/>
          <w:szCs w:val="22"/>
        </w:rPr>
        <w:t xml:space="preserve">Host Country Authorisation Required: No MCC credit shall be issued for a project activity unless the host country has provided authorisation or documented non-objection, in accordance with MCC-HCA-v1.0 (Host Country Authorisation Framework).</w:t>
      </w:r>
    </w:p>
    <w:p>
      <w:pPr>
        <w:spacing w:after="120"/>
      </w:pPr>
      <w:r>
        <w:rPr>
          <w:rFonts w:ascii="Arial" w:cs="Arial" w:eastAsia="Arial" w:hAnsi="Arial"/>
          <w:b/>
          <w:bCs/>
          <w:color w:val="1B4F72"/>
          <w:sz w:val="22"/>
          <w:szCs w:val="22"/>
        </w:rPr>
        <w:t xml:space="preserve">0035  </w:t>
      </w:r>
      <w:r>
        <w:rPr>
          <w:rFonts w:ascii="Arial" w:cs="Arial" w:eastAsia="Arial" w:hAnsi="Arial"/>
          <w:sz w:val="22"/>
          <w:szCs w:val="22"/>
        </w:rPr>
        <w:t xml:space="preserve">Scientific Rigor: All methodologies shall be based on the best available scientific evidence and shall be subject to peer review, stakeholder consultation, and independent scrutiny.</w:t>
      </w:r>
    </w:p>
    <w:p>
      <w:pPr>
        <w:spacing w:after="120"/>
      </w:pPr>
      <w:r>
        <w:rPr>
          <w:rFonts w:ascii="Arial" w:cs="Arial" w:eastAsia="Arial" w:hAnsi="Arial"/>
          <w:b/>
          <w:bCs/>
          <w:color w:val="1B4F72"/>
          <w:sz w:val="22"/>
          <w:szCs w:val="22"/>
        </w:rPr>
        <w:t xml:space="preserve">0036  </w:t>
      </w:r>
      <w:r>
        <w:rPr>
          <w:rFonts w:ascii="Arial" w:cs="Arial" w:eastAsia="Arial" w:hAnsi="Arial"/>
          <w:sz w:val="22"/>
          <w:szCs w:val="22"/>
        </w:rPr>
        <w:t xml:space="preserve">Permanence and Risk Management: MCC shall establish requirements for addressing permanence risks and shall maintain provisions for credit retirement or replacement where environmental outcomes are at material risk.</w:t>
      </w:r>
    </w:p>
    <w:p>
      <w:pPr>
        <w:spacing w:after="120"/>
      </w:pPr>
      <w:r>
        <w:rPr>
          <w:rFonts w:ascii="Arial" w:hAnsi="Arial"/>
          <w:b/>
          <w:sz w:val="22"/>
        </w:rPr>
        <w:t>0036.1  Family-Differentiated Permanence Horizons: Permanence horizons differ by methodology family in recognition of the heterogeneous nature of marine and coastal interventions. The family-specific permanence horizons and post-crediting monitoring requirements are codified in MCC-200 Methodology Framework §0031.1–0031.3 and shall apply as a normative constraint on all projects registered under any MCC methodology. Amendment of family-specific permanence horizons shall require Methodology Review Committee approval in accordance with MCC-700 §11 and shall be subject to public consultation in accordance with MCC-100 stakeholder consultation requirements.</w:t>
      </w:r>
    </w:p>
    <w:p>
      <w:pPr>
        <w:spacing w:after="120"/>
      </w:pPr>
      <w:r>
        <w:rPr>
          <w:rFonts w:ascii="Arial" w:cs="Arial" w:eastAsia="Arial" w:hAnsi="Arial"/>
          <w:b/>
          <w:bCs/>
          <w:color w:val="1B4F72"/>
          <w:sz w:val="22"/>
          <w:szCs w:val="22"/>
        </w:rPr>
        <w:t xml:space="preserve">0037  </w:t>
      </w:r>
      <w:r>
        <w:rPr>
          <w:rFonts w:ascii="Arial" w:cs="Arial" w:eastAsia="Arial" w:hAnsi="Arial"/>
          <w:sz w:val="22"/>
          <w:szCs w:val="22"/>
        </w:rPr>
        <w:t xml:space="preserve">Stakeholder Engagement: MCC shall engage with project developers, host countries, VVBs, environmental organisations, indigenous communities, and civil society in developing standards and overseeing programmes.</w:t>
      </w:r>
    </w:p>
    <w:p>
      <w:pPr>
        <w:spacing w:after="120"/>
      </w:pPr>
      <w:r>
        <w:rPr>
          <w:rFonts w:ascii="Arial" w:cs="Arial" w:eastAsia="Arial" w:hAnsi="Arial"/>
          <w:b/>
          <w:bCs/>
          <w:color w:val="1B4F72"/>
          <w:sz w:val="22"/>
          <w:szCs w:val="22"/>
        </w:rPr>
        <w:t xml:space="preserve">0038  </w:t>
      </w:r>
      <w:r>
        <w:rPr>
          <w:rFonts w:ascii="Arial" w:cs="Arial" w:eastAsia="Arial" w:hAnsi="Arial"/>
          <w:sz w:val="22"/>
          <w:szCs w:val="22"/>
        </w:rPr>
        <w:t xml:space="preserve">Adaptive Management: MCC shall review, monitor, and adapt its standards and operations in response to scientific advances, operational experience, and changing environmental and social contexts.</w:t>
      </w:r>
    </w:p>
    <w:p>
      <w:pPr>
        <w:spacing w:after="120"/>
      </w:pPr>
      <w:r>
        <w:rPr>
          <w:rFonts w:ascii="Arial" w:cs="Arial" w:eastAsia="Arial" w:hAnsi="Arial"/>
          <w:b/>
          <w:bCs/>
          <w:color w:val="1B4F72"/>
          <w:sz w:val="22"/>
          <w:szCs w:val="22"/>
        </w:rPr>
        <w:t xml:space="preserve">0039  </w:t>
      </w:r>
      <w:r>
        <w:rPr>
          <w:rFonts w:ascii="Arial" w:cs="Arial" w:eastAsia="Arial" w:hAnsi="Arial"/>
          <w:sz w:val="22"/>
          <w:szCs w:val="22"/>
        </w:rPr>
        <w:t xml:space="preserve">Non-Discrimination: MCC shall apply standards and procedures consistently and equitably across all geographies, methodologies, and project types.</w:t>
      </w:r>
    </w:p>
    <w:p>
      <w:r>
        <w:br w:type="page"/>
      </w:r>
    </w:p>
    <w:p>
      <w:pPr>
        <w:pStyle w:val="Heading1"/>
        <w:spacing w:before="360" w:after="240"/>
      </w:pPr>
      <w:r>
        <w:rPr>
          <w:rFonts w:ascii="Arial" w:cs="Arial" w:eastAsia="Arial" w:hAnsi="Arial"/>
          <w:b/>
          <w:bCs/>
          <w:color w:val="1B4F72"/>
          <w:sz w:val="32"/>
          <w:szCs w:val="32"/>
        </w:rPr>
        <w:t xml:space="preserve">GOVERNANCE STRUCTURE</w:t>
      </w:r>
    </w:p>
    <w:p>
      <w:pPr>
        <w:spacing w:after="120"/>
      </w:pPr>
      <w:r>
        <w:rPr>
          <w:rFonts w:ascii="Arial" w:cs="Arial" w:eastAsia="Arial" w:hAnsi="Arial"/>
          <w:b/>
          <w:bCs/>
          <w:color w:val="1B4F72"/>
          <w:sz w:val="22"/>
          <w:szCs w:val="22"/>
        </w:rPr>
        <w:t xml:space="preserve">0040  </w:t>
      </w:r>
      <w:r>
        <w:rPr>
          <w:rFonts w:ascii="Arial" w:cs="Arial" w:eastAsia="Arial" w:hAnsi="Arial"/>
          <w:sz w:val="22"/>
          <w:szCs w:val="22"/>
        </w:rPr>
        <w:t xml:space="preserve">MCC shall be governed by a Board of Directors vested with ultimate decision-making authority.</w:t>
      </w:r>
    </w:p>
    <w:p>
      <w:pPr>
        <w:spacing w:after="120"/>
      </w:pPr>
      <w:r>
        <w:rPr>
          <w:rFonts w:ascii="Arial" w:cs="Arial" w:eastAsia="Arial" w:hAnsi="Arial"/>
          <w:b/>
          <w:bCs/>
          <w:color w:val="1B4F72"/>
          <w:sz w:val="22"/>
          <w:szCs w:val="22"/>
        </w:rPr>
        <w:t xml:space="preserve">0041  </w:t>
      </w:r>
      <w:r>
        <w:rPr>
          <w:rFonts w:ascii="Arial" w:cs="Arial" w:eastAsia="Arial" w:hAnsi="Arial"/>
          <w:sz w:val="22"/>
          <w:szCs w:val="22"/>
        </w:rPr>
        <w:t xml:space="preserve">The Board shall comprise representatives of host country governments, international environmental organisations, scientific institutions, and independent experts.</w:t>
      </w:r>
    </w:p>
    <w:p>
      <w:pPr>
        <w:spacing w:after="120"/>
      </w:pPr>
      <w:r>
        <w:rPr>
          <w:rFonts w:ascii="Arial" w:cs="Arial" w:eastAsia="Arial" w:hAnsi="Arial"/>
          <w:b/>
          <w:bCs/>
          <w:color w:val="1B4F72"/>
          <w:sz w:val="22"/>
          <w:szCs w:val="22"/>
        </w:rPr>
        <w:t xml:space="preserve">0042  </w:t>
      </w:r>
      <w:r>
        <w:rPr>
          <w:rFonts w:ascii="Arial" w:cs="Arial" w:eastAsia="Arial" w:hAnsi="Arial"/>
          <w:sz w:val="22"/>
          <w:szCs w:val="22"/>
        </w:rPr>
        <w:t xml:space="preserve">Board composition shall ensure geographic balance, expertise in marine science and conservation, and representation of diverse stakeholder interests.</w:t>
      </w:r>
    </w:p>
    <w:p>
      <w:pPr>
        <w:spacing w:after="120"/>
      </w:pPr>
      <w:r>
        <w:rPr>
          <w:rFonts w:ascii="Arial" w:cs="Arial" w:eastAsia="Arial" w:hAnsi="Arial"/>
          <w:b/>
          <w:bCs/>
          <w:color w:val="1B4F72"/>
          <w:sz w:val="22"/>
          <w:szCs w:val="22"/>
        </w:rPr>
        <w:t xml:space="preserve">0043  </w:t>
      </w:r>
      <w:r>
        <w:rPr>
          <w:rFonts w:ascii="Arial" w:cs="Arial" w:eastAsia="Arial" w:hAnsi="Arial"/>
          <w:sz w:val="22"/>
          <w:szCs w:val="22"/>
        </w:rPr>
        <w:t xml:space="preserve">The Board shall meet at least quarterly and shall maintain a public record of all meeting minutes and decisions.</w:t>
      </w:r>
    </w:p>
    <w:p>
      <w:pPr>
        <w:spacing w:after="120"/>
      </w:pPr>
      <w:r>
        <w:rPr>
          <w:rFonts w:ascii="Arial" w:cs="Arial" w:eastAsia="Arial" w:hAnsi="Arial"/>
          <w:b/>
          <w:bCs/>
          <w:color w:val="1B4F72"/>
          <w:sz w:val="22"/>
          <w:szCs w:val="22"/>
        </w:rPr>
        <w:t xml:space="preserve">0044  </w:t>
      </w:r>
      <w:r>
        <w:rPr>
          <w:rFonts w:ascii="Arial" w:cs="Arial" w:eastAsia="Arial" w:hAnsi="Arial"/>
          <w:sz w:val="22"/>
          <w:szCs w:val="22"/>
        </w:rPr>
        <w:t xml:space="preserve">Board decisions regarding methodology approval, major policy changes, and charter amendments shall require consensus or documented supermajority approval.</w:t>
      </w:r>
    </w:p>
    <w:p>
      <w:pPr>
        <w:spacing w:after="120"/>
      </w:pPr>
      <w:r>
        <w:rPr>
          <w:rFonts w:ascii="Arial" w:cs="Arial" w:eastAsia="Arial" w:hAnsi="Arial"/>
          <w:b/>
          <w:bCs/>
          <w:color w:val="1B4F72"/>
          <w:sz w:val="22"/>
          <w:szCs w:val="22"/>
        </w:rPr>
        <w:t xml:space="preserve">0045  </w:t>
      </w:r>
      <w:r>
        <w:rPr>
          <w:rFonts w:ascii="Arial" w:cs="Arial" w:eastAsia="Arial" w:hAnsi="Arial"/>
          <w:sz w:val="22"/>
          <w:szCs w:val="22"/>
        </w:rPr>
        <w:t xml:space="preserve">The Board shall delegate operational authority to a Methodology Review Committee, a Registry Operations Team, and a Project Governance Team.</w:t>
      </w:r>
    </w:p>
    <w:p>
      <w:pPr>
        <w:spacing w:after="120"/>
      </w:pPr>
      <w:r>
        <w:rPr>
          <w:rFonts w:ascii="Arial" w:cs="Arial" w:eastAsia="Arial" w:hAnsi="Arial"/>
          <w:b/>
          <w:bCs/>
          <w:color w:val="1B4F72"/>
          <w:sz w:val="22"/>
          <w:szCs w:val="22"/>
        </w:rPr>
        <w:t xml:space="preserve">0046  </w:t>
      </w:r>
      <w:r>
        <w:rPr>
          <w:rFonts w:ascii="Arial" w:cs="Arial" w:eastAsia="Arial" w:hAnsi="Arial"/>
          <w:sz w:val="22"/>
          <w:szCs w:val="22"/>
        </w:rPr>
        <w:t xml:space="preserve">The Methodology Review Committee shall be responsible for developing, reviewing, and approving all MCC methodologies and cross-cutting frameworks.</w:t>
      </w:r>
    </w:p>
    <w:p>
      <w:pPr>
        <w:spacing w:after="120"/>
      </w:pPr>
      <w:r>
        <w:rPr>
          <w:rFonts w:ascii="Arial" w:cs="Arial" w:eastAsia="Arial" w:hAnsi="Arial"/>
          <w:b/>
          <w:bCs/>
          <w:color w:val="1B4F72"/>
          <w:sz w:val="22"/>
          <w:szCs w:val="22"/>
        </w:rPr>
        <w:t xml:space="preserve">0047  </w:t>
      </w:r>
      <w:r>
        <w:rPr>
          <w:rFonts w:ascii="Arial" w:cs="Arial" w:eastAsia="Arial" w:hAnsi="Arial"/>
          <w:sz w:val="22"/>
          <w:szCs w:val="22"/>
        </w:rPr>
        <w:t xml:space="preserve">The Methodology Review Committee shall comprise marine scientists, methodology experts, and independent reviewers with documented expertise.</w:t>
      </w:r>
    </w:p>
    <w:p>
      <w:pPr>
        <w:spacing w:after="120"/>
      </w:pPr>
      <w:r>
        <w:rPr>
          <w:rFonts w:ascii="Arial" w:cs="Arial" w:eastAsia="Arial" w:hAnsi="Arial"/>
          <w:b/>
          <w:bCs/>
          <w:color w:val="1B4F72"/>
          <w:sz w:val="22"/>
          <w:szCs w:val="22"/>
        </w:rPr>
        <w:t xml:space="preserve">0048  </w:t>
      </w:r>
      <w:r>
        <w:rPr>
          <w:rFonts w:ascii="Arial" w:cs="Arial" w:eastAsia="Arial" w:hAnsi="Arial"/>
          <w:sz w:val="22"/>
          <w:szCs w:val="22"/>
        </w:rPr>
        <w:t xml:space="preserve">The Methodology Review Committee shall conduct peer review and stakeholder consultation for all new methodologies.</w:t>
      </w:r>
    </w:p>
    <w:p>
      <w:pPr>
        <w:spacing w:after="120"/>
      </w:pPr>
      <w:r>
        <w:rPr>
          <w:rFonts w:ascii="Arial" w:cs="Arial" w:eastAsia="Arial" w:hAnsi="Arial"/>
          <w:b/>
          <w:bCs/>
          <w:color w:val="1B4F72"/>
          <w:sz w:val="22"/>
          <w:szCs w:val="22"/>
        </w:rPr>
        <w:t xml:space="preserve">0049  </w:t>
      </w:r>
      <w:r>
        <w:rPr>
          <w:rFonts w:ascii="Arial" w:cs="Arial" w:eastAsia="Arial" w:hAnsi="Arial"/>
          <w:sz w:val="22"/>
          <w:szCs w:val="22"/>
        </w:rPr>
        <w:t xml:space="preserve">The Registry Operations Team shall be responsible for technical operation of the MCC credit registry, issuance, serialisation, and public data provision.</w:t>
      </w:r>
    </w:p>
    <w:p>
      <w:pPr>
        <w:spacing w:after="120"/>
      </w:pPr>
      <w:r>
        <w:rPr>
          <w:rFonts w:ascii="Arial" w:cs="Arial" w:eastAsia="Arial" w:hAnsi="Arial"/>
          <w:b/>
          <w:bCs/>
          <w:color w:val="1B4F72"/>
          <w:sz w:val="22"/>
          <w:szCs w:val="22"/>
        </w:rPr>
        <w:t xml:space="preserve">0050  </w:t>
      </w:r>
      <w:r>
        <w:rPr>
          <w:rFonts w:ascii="Arial" w:cs="Arial" w:eastAsia="Arial" w:hAnsi="Arial"/>
          <w:sz w:val="22"/>
          <w:szCs w:val="22"/>
        </w:rPr>
        <w:t xml:space="preserve">The Registry Operations Team shall be subject to independent audit and shall maintain documented quality assurance procedures.</w:t>
      </w:r>
    </w:p>
    <w:p>
      <w:pPr>
        <w:spacing w:after="120"/>
      </w:pPr>
      <w:r>
        <w:rPr>
          <w:rFonts w:ascii="Arial" w:cs="Arial" w:eastAsia="Arial" w:hAnsi="Arial"/>
          <w:b/>
          <w:bCs/>
          <w:color w:val="1B4F72"/>
          <w:sz w:val="22"/>
          <w:szCs w:val="22"/>
        </w:rPr>
        <w:t xml:space="preserve">0051  </w:t>
      </w:r>
      <w:r>
        <w:rPr>
          <w:rFonts w:ascii="Arial" w:cs="Arial" w:eastAsia="Arial" w:hAnsi="Arial"/>
          <w:sz w:val="22"/>
          <w:szCs w:val="22"/>
        </w:rPr>
        <w:t xml:space="preserve">The Project Governance Team shall be responsible for project oversight, VVB coordination, compliance monitoring, and safeguards oversight.</w:t>
      </w:r>
    </w:p>
    <w:p>
      <w:pPr>
        <w:spacing w:after="120"/>
      </w:pPr>
      <w:r>
        <w:rPr>
          <w:rFonts w:ascii="Arial" w:cs="Arial" w:eastAsia="Arial" w:hAnsi="Arial"/>
          <w:b/>
          <w:bCs/>
          <w:color w:val="1B4F72"/>
          <w:sz w:val="22"/>
          <w:szCs w:val="22"/>
        </w:rPr>
        <w:t xml:space="preserve">0052  </w:t>
      </w:r>
      <w:r>
        <w:rPr>
          <w:rFonts w:ascii="Arial" w:cs="Arial" w:eastAsia="Arial" w:hAnsi="Arial"/>
          <w:sz w:val="22"/>
          <w:szCs w:val="22"/>
        </w:rPr>
        <w:t xml:space="preserve">The Project Governance Team shall not make decisions regarding methodology approval or standard-setting.</w:t>
      </w:r>
    </w:p>
    <w:p>
      <w:pPr>
        <w:spacing w:after="120"/>
      </w:pPr>
      <w:r>
        <w:rPr>
          <w:rFonts w:ascii="Arial" w:cs="Arial" w:eastAsia="Arial" w:hAnsi="Arial"/>
          <w:b/>
          <w:bCs/>
          <w:color w:val="1B4F72"/>
          <w:sz w:val="22"/>
          <w:szCs w:val="22"/>
        </w:rPr>
        <w:t xml:space="preserve">0053  </w:t>
      </w:r>
      <w:r>
        <w:rPr>
          <w:rFonts w:ascii="Arial" w:cs="Arial" w:eastAsia="Arial" w:hAnsi="Arial"/>
          <w:sz w:val="22"/>
          <w:szCs w:val="22"/>
        </w:rPr>
        <w:t xml:space="preserve">All committees and teams shall maintain documented procedures, meet regularly, and report to the Board.</w:t>
      </w:r>
    </w:p>
    <w:p>
      <w:pPr>
        <w:spacing w:after="120"/>
      </w:pPr>
      <w:r>
        <w:rPr>
          <w:rFonts w:ascii="Arial" w:cs="Arial" w:eastAsia="Arial" w:hAnsi="Arial"/>
          <w:b/>
          <w:bCs/>
          <w:color w:val="1B4F72"/>
          <w:sz w:val="22"/>
          <w:szCs w:val="22"/>
        </w:rPr>
        <w:t xml:space="preserve">0054  </w:t>
      </w:r>
      <w:r>
        <w:rPr>
          <w:rFonts w:ascii="Arial" w:cs="Arial" w:eastAsia="Arial" w:hAnsi="Arial"/>
          <w:sz w:val="22"/>
          <w:szCs w:val="22"/>
        </w:rPr>
        <w:t xml:space="preserve">The Board shall annually assess the effectiveness of the governance structure and shall make amendments as necessary to ensure accountability and effectiveness.</w:t>
      </w:r>
    </w:p>
    <w:p>
      <w:pPr>
        <w:spacing w:after="120"/>
      </w:pPr>
      <w:r>
        <w:rPr>
          <w:rFonts w:ascii="Arial" w:cs="Arial" w:eastAsia="Arial" w:hAnsi="Arial"/>
          <w:b/>
          <w:bCs/>
          <w:color w:val="1B4F72"/>
          <w:sz w:val="22"/>
          <w:szCs w:val="22"/>
        </w:rPr>
        <w:t xml:space="preserve">0055  </w:t>
      </w:r>
      <w:r>
        <w:rPr>
          <w:rFonts w:ascii="Arial" w:cs="Arial" w:eastAsia="Arial" w:hAnsi="Arial"/>
          <w:sz w:val="22"/>
          <w:szCs w:val="22"/>
        </w:rPr>
        <w:t xml:space="preserve">All Board members and committee members shall operate under a documented code of conduct including conflict of interest disclosure.</w:t>
      </w:r>
    </w:p>
    <w:p>
      <w:pPr>
        <w:spacing w:after="120"/>
      </w:pPr>
      <w:r>
        <w:rPr>
          <w:rFonts w:ascii="Arial" w:cs="Arial" w:eastAsia="Arial" w:hAnsi="Arial"/>
          <w:b/>
          <w:bCs/>
          <w:color w:val="1B4F72"/>
          <w:sz w:val="22"/>
          <w:szCs w:val="22"/>
        </w:rPr>
        <w:t xml:space="preserve">0056  </w:t>
      </w:r>
      <w:r>
        <w:rPr>
          <w:rFonts w:ascii="Arial" w:cs="Arial" w:eastAsia="Arial" w:hAnsi="Arial"/>
          <w:sz w:val="22"/>
          <w:szCs w:val="22"/>
        </w:rPr>
        <w:t xml:space="preserve">The governance structure shall be transparently described in a separate MCC Governance Framework (MCC-700).</w:t>
      </w:r>
    </w:p>
    <w:p>
      <w:r>
        <w:br w:type="page"/>
      </w:r>
    </w:p>
    <w:p>
      <w:pPr>
        <w:pStyle w:val="Heading1"/>
        <w:spacing w:before="360" w:after="240"/>
      </w:pPr>
      <w:r>
        <w:rPr>
          <w:rFonts w:ascii="Arial" w:cs="Arial" w:eastAsia="Arial" w:hAnsi="Arial"/>
          <w:b/>
          <w:bCs/>
          <w:color w:val="1B4F72"/>
          <w:sz w:val="32"/>
          <w:szCs w:val="32"/>
        </w:rPr>
        <w:t xml:space="preserve">PROGRAMME COMMITMENTS</w:t>
      </w:r>
    </w:p>
    <w:p>
      <w:pPr>
        <w:spacing w:after="120"/>
      </w:pPr>
      <w:r>
        <w:rPr>
          <w:rFonts w:ascii="Arial" w:cs="Arial" w:eastAsia="Arial" w:hAnsi="Arial"/>
          <w:b/>
          <w:bCs/>
          <w:color w:val="1B4F72"/>
          <w:sz w:val="22"/>
          <w:szCs w:val="22"/>
        </w:rPr>
        <w:t xml:space="preserve">0057  </w:t>
      </w:r>
      <w:r>
        <w:rPr>
          <w:rFonts w:ascii="Arial" w:cs="Arial" w:eastAsia="Arial" w:hAnsi="Arial"/>
          <w:sz w:val="22"/>
          <w:szCs w:val="22"/>
        </w:rPr>
        <w:t xml:space="preserve">MCC hereby commits to the following binding programme commitments:</w:t>
      </w:r>
    </w:p>
    <w:p>
      <w:pPr>
        <w:spacing w:after="120"/>
      </w:pPr>
      <w:r>
        <w:rPr>
          <w:rFonts w:ascii="Arial" w:cs="Arial" w:eastAsia="Arial" w:hAnsi="Arial"/>
          <w:b/>
          <w:bCs/>
          <w:color w:val="1B4F72"/>
          <w:sz w:val="22"/>
          <w:szCs w:val="22"/>
        </w:rPr>
        <w:t xml:space="preserve">0058  </w:t>
      </w:r>
      <w:r>
        <w:rPr>
          <w:rFonts w:ascii="Arial" w:cs="Arial" w:eastAsia="Arial" w:hAnsi="Arial"/>
          <w:sz w:val="22"/>
          <w:szCs w:val="22"/>
        </w:rPr>
        <w:t xml:space="preserve">Safeguards Commitment: MCC commits to establishing, maintaining, and enforcing environmental and social safeguards standards at the programme level in accordance with MCC-ESS-v1.0 (Environmental and Social Safeguards Standard). All projects shall be required to conduct appropriate environmental and social impact assessment, shall establish mitigation and monitoring measures, and shall demonstrate ongoing compliance with safeguards requirements. Safeguards compliance shall be a mandatory condition for credit issuance.</w:t>
      </w:r>
    </w:p>
    <w:p>
      <w:pPr>
        <w:spacing w:after="120"/>
      </w:pPr>
      <w:r>
        <w:rPr>
          <w:rFonts w:ascii="Arial" w:cs="Arial" w:eastAsia="Arial" w:hAnsi="Arial"/>
          <w:b/>
          <w:bCs/>
          <w:color w:val="1B4F72"/>
          <w:sz w:val="22"/>
          <w:szCs w:val="22"/>
        </w:rPr>
        <w:t xml:space="preserve">0059  </w:t>
      </w:r>
      <w:r>
        <w:rPr>
          <w:rFonts w:ascii="Arial" w:cs="Arial" w:eastAsia="Arial" w:hAnsi="Arial"/>
          <w:sz w:val="22"/>
          <w:szCs w:val="22"/>
        </w:rPr>
        <w:t xml:space="preserve">Sustainable Development Commitment: MCC commits to establishing, maintaining, and enforcing sustainable development contribution assessment at the programme level in accordance with MCC-SDCF-v1.0 (Sustainable Development Contribution Framework). All methodologies shall define methodology-specific sustainable development indicators aligned with the United Nations Sustainable Development Goals. All projects shall measure and report on sustainable development contributions. MCC shall annually report aggregate sustainable development contributions across all active projects.</w:t>
      </w:r>
    </w:p>
    <w:p>
      <w:pPr>
        <w:spacing w:after="120"/>
      </w:pPr>
      <w:r>
        <w:rPr>
          <w:rFonts w:ascii="Arial" w:cs="Arial" w:eastAsia="Arial" w:hAnsi="Arial"/>
          <w:b/>
          <w:bCs/>
          <w:color w:val="1B4F72"/>
          <w:sz w:val="22"/>
          <w:szCs w:val="22"/>
        </w:rPr>
        <w:t xml:space="preserve">0060  </w:t>
      </w:r>
      <w:r>
        <w:rPr>
          <w:rFonts w:ascii="Arial" w:cs="Arial" w:eastAsia="Arial" w:hAnsi="Arial"/>
          <w:sz w:val="22"/>
          <w:szCs w:val="22"/>
        </w:rPr>
        <w:t xml:space="preserve">Corresponding Adjustment Commitment: MCC commits to establishing, maintaining, and enforcing corresponding adjustment and double counting prevention tracking at the programme level in accordance with MCC-CADCP-v1.0 (Corresponding Adjustment and Double Counting Prevention Framework). MCC shall maintain a public register of corresponding adjustments, shall track cross-reference with external programme registries where available, and shall ensure no credit is issued where overlapping environmental benefits or claims exist.</w:t>
      </w:r>
    </w:p>
    <w:p>
      <w:pPr>
        <w:spacing w:after="120"/>
      </w:pPr>
      <w:r>
        <w:rPr>
          <w:rFonts w:ascii="Arial" w:cs="Arial" w:eastAsia="Arial" w:hAnsi="Arial"/>
          <w:b/>
          <w:bCs/>
          <w:color w:val="1B4F72"/>
          <w:sz w:val="22"/>
          <w:szCs w:val="22"/>
        </w:rPr>
        <w:t xml:space="preserve">0061  </w:t>
      </w:r>
      <w:r>
        <w:rPr>
          <w:rFonts w:ascii="Arial" w:cs="Arial" w:eastAsia="Arial" w:hAnsi="Arial"/>
          <w:sz w:val="22"/>
          <w:szCs w:val="22"/>
        </w:rPr>
        <w:t xml:space="preserve">Host Country Authorisation Commitment: MCC commits to requiring and documenting host country authorisation or documented non-objection for all projects in accordance with MCC-HCA-v1.0 (Host Country Authorisation Framework). No credit shall be issued without evidence of host country engagement and authorisation.</w:t>
      </w:r>
    </w:p>
    <w:p>
      <w:pPr>
        <w:spacing w:after="120"/>
      </w:pPr>
      <w:r>
        <w:rPr>
          <w:rFonts w:ascii="Arial" w:cs="Arial" w:eastAsia="Arial" w:hAnsi="Arial"/>
          <w:b/>
          <w:bCs/>
          <w:color w:val="1B4F72"/>
          <w:sz w:val="22"/>
          <w:szCs w:val="22"/>
        </w:rPr>
        <w:t xml:space="preserve">0062  </w:t>
      </w:r>
      <w:r>
        <w:rPr>
          <w:rFonts w:ascii="Arial" w:cs="Arial" w:eastAsia="Arial" w:hAnsi="Arial"/>
          <w:sz w:val="22"/>
          <w:szCs w:val="22"/>
        </w:rPr>
        <w:t xml:space="preserve">Transparency Commitment: MCC commits to making all programme data including methodologies, rules, decisions, credit registers, and project information publicly accessible at no cost and in accessible formats. MCC shall maintain a public dashboard of key performance metrics and outcomes.</w:t>
      </w:r>
    </w:p>
    <w:p>
      <w:pPr>
        <w:spacing w:after="120"/>
      </w:pPr>
      <w:r>
        <w:rPr>
          <w:rFonts w:ascii="Arial" w:cs="Arial" w:eastAsia="Arial" w:hAnsi="Arial"/>
          <w:b/>
          <w:bCs/>
          <w:color w:val="1B4F72"/>
          <w:sz w:val="22"/>
          <w:szCs w:val="22"/>
        </w:rPr>
        <w:t xml:space="preserve">0063  </w:t>
      </w:r>
      <w:r>
        <w:rPr>
          <w:rFonts w:ascii="Arial" w:cs="Arial" w:eastAsia="Arial" w:hAnsi="Arial"/>
          <w:sz w:val="22"/>
          <w:szCs w:val="22"/>
        </w:rPr>
        <w:t xml:space="preserve">Operational History Commitment: MCC acknowledges that institutional credibility and track record are essential to claims of programme quality. MCC therefore commits to maintaining and demonstrating at least two years of documented operational history, including projects under development, validated projects, issued credits, and verified outcomes, before claiming conformity with external programme standards or seeking external programme equivalence assessments. This commitment ensures that MCC's claims regarding programme maturity and effectiveness are grounded in actual operational experience rather than theoretical design.</w:t>
      </w:r>
    </w:p>
    <w:p>
      <w:pPr>
        <w:spacing w:after="120"/>
      </w:pPr>
      <w:r>
        <w:rPr>
          <w:rFonts w:ascii="Arial" w:cs="Arial" w:eastAsia="Arial" w:hAnsi="Arial"/>
          <w:b/>
          <w:bCs/>
          <w:color w:val="1B4F72"/>
          <w:sz w:val="22"/>
          <w:szCs w:val="22"/>
        </w:rPr>
        <w:t xml:space="preserve">0064  </w:t>
      </w:r>
      <w:r>
        <w:rPr>
          <w:rFonts w:ascii="Arial" w:cs="Arial" w:eastAsia="Arial" w:hAnsi="Arial"/>
          <w:sz w:val="22"/>
          <w:szCs w:val="22"/>
        </w:rPr>
        <w:t xml:space="preserve">Data Integrity Commitment: MCC commits to maintaining secure, auditable, and tamper-proof records of all credits, transactions, and supporting documentation, subject to independent audit.</w:t>
      </w:r>
    </w:p>
    <w:p>
      <w:pPr>
        <w:spacing w:after="120"/>
      </w:pPr>
      <w:r>
        <w:rPr>
          <w:rFonts w:ascii="Arial" w:cs="Arial" w:eastAsia="Arial" w:hAnsi="Arial"/>
          <w:b/>
          <w:bCs/>
          <w:color w:val="1B4F72"/>
          <w:sz w:val="22"/>
          <w:szCs w:val="22"/>
        </w:rPr>
        <w:t xml:space="preserve">0065  </w:t>
      </w:r>
      <w:r>
        <w:rPr>
          <w:rFonts w:ascii="Arial" w:cs="Arial" w:eastAsia="Arial" w:hAnsi="Arial"/>
          <w:sz w:val="22"/>
          <w:szCs w:val="22"/>
        </w:rPr>
        <w:t xml:space="preserve">Adaptive Management Commitment: MCC commits to reviewing and updating standards, methodologies, and operational procedures at least every five years or upon material scientific or policy change, and shall engage stakeholders in all major review processes.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2340"/>
        <w:gridCol w:w="2340"/>
        <w:gridCol w:w="2340"/>
      </w:tblGrid>
      <w:tr>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Commitment</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Framework Reference</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Key Requirements</w:t>
            </w:r>
          </w:p>
        </w:tc>
        <w:tc>
          <w:tcPr>
            <w:tcW w:type="dxa" w:w="2340"/>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Oversight</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Safeguards</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MCC-ESS-v1.0</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ESIA, mitigation, compliance monitoring</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Board, Project Governance Team</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Sustainable Development</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MCC-SDCF-v1.0</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SD indicators, reporting, annual aggregation</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Board, Methodology Review Committee</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Corresponding Adjustment</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MCC-CADCP-v1.0</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Overlap prevention, registry tracking</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Registry Operations Team, Board</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Host Country Authorisation</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MCC-HCA-v1.0</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Documented authorisation, project engagement</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Project Governance Team, Board</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Transparency</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MCC-001 Section 5</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Public data, open access, dashboard</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Registry Operations Team, Board</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Operational History</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MCC-001 Section 5</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2-year track record, documented projects</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Board, independent assessment</w:t>
            </w:r>
          </w:p>
        </w:tc>
      </w:tr>
      <w:tr>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Data Integrity</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MCC-001 Section 5</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Secure records, audit trails</w:t>
            </w:r>
          </w:p>
        </w:tc>
        <w:tc>
          <w:tcPr>
            <w:tcW w:type="dxa" w:w="2340"/>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Registry Operations Team, independent auditor</w:t>
            </w:r>
          </w:p>
        </w:tc>
      </w:tr>
      <w:tr>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Adaptive Management</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MCC-001 Section 5</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5-year reviews, stakeholder engagement</w:t>
            </w:r>
          </w:p>
        </w:tc>
        <w:tc>
          <w:tcPr>
            <w:tcW w:type="dxa" w:w="234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Board, Methodology Review Committee</w:t>
            </w:r>
          </w:p>
        </w:tc>
      </w:tr>
    </w:tbl>
    <w:p>
      <w:pPr>
        <w:spacing w:after="200"/>
      </w:pPr>
    </w:p>
    <w:p>
      <w:r>
        <w:br w:type="page"/>
      </w:r>
    </w:p>
    <w:p>
      <w:pPr>
        <w:pStyle w:val="Heading1"/>
        <w:spacing w:before="360" w:after="240"/>
      </w:pPr>
      <w:r>
        <w:rPr>
          <w:rFonts w:ascii="Arial" w:cs="Arial" w:eastAsia="Arial" w:hAnsi="Arial"/>
          <w:b/>
          <w:bCs/>
          <w:color w:val="1B4F72"/>
          <w:sz w:val="32"/>
          <w:szCs w:val="32"/>
        </w:rPr>
        <w:t xml:space="preserve">REGULATORY POSTURE</w:t>
      </w:r>
    </w:p>
    <w:p>
      <w:pPr>
        <w:spacing w:after="120"/>
      </w:pPr>
      <w:r>
        <w:rPr>
          <w:rFonts w:ascii="Arial" w:cs="Arial" w:eastAsia="Arial" w:hAnsi="Arial"/>
          <w:b/>
          <w:bCs/>
          <w:color w:val="1B4F72"/>
          <w:sz w:val="22"/>
          <w:szCs w:val="22"/>
        </w:rPr>
        <w:t xml:space="preserve">0066  </w:t>
      </w:r>
      <w:r>
        <w:rPr>
          <w:rFonts w:ascii="Arial" w:cs="Arial" w:eastAsia="Arial" w:hAnsi="Arial"/>
          <w:sz w:val="22"/>
          <w:szCs w:val="22"/>
        </w:rPr>
        <w:t xml:space="preserve">MCC acknowledges that institutional credibility, programme design, and operational track record are prerequisites for claims of conformity with external regulatory frameworks or equivalence with international standards.</w:t>
      </w:r>
    </w:p>
    <w:p>
      <w:pPr>
        <w:spacing w:after="120"/>
      </w:pPr>
      <w:r>
        <w:rPr>
          <w:rFonts w:ascii="Arial" w:cs="Arial" w:eastAsia="Arial" w:hAnsi="Arial"/>
          <w:b/>
          <w:bCs/>
          <w:color w:val="1B4F72"/>
          <w:sz w:val="22"/>
          <w:szCs w:val="22"/>
        </w:rPr>
        <w:t xml:space="preserve">0067  </w:t>
      </w:r>
      <w:r>
        <w:rPr>
          <w:rFonts w:ascii="Arial" w:cs="Arial" w:eastAsia="Arial" w:hAnsi="Arial"/>
          <w:sz w:val="22"/>
          <w:szCs w:val="22"/>
        </w:rPr>
        <w:t xml:space="preserve">MCC shall not claim specific regulatory programme status (such as conformity with Article 6.4 of the Paris Agreement, Voluntary Carbon Market standards, or other international frameworks) until such status has been formally assessed and granted by the relevant external authority.</w:t>
      </w:r>
    </w:p>
    <w:p>
      <w:pPr>
        <w:spacing w:after="120"/>
      </w:pPr>
      <w:r>
        <w:rPr>
          <w:rFonts w:ascii="Arial" w:cs="Arial" w:eastAsia="Arial" w:hAnsi="Arial"/>
          <w:b/>
          <w:bCs/>
          <w:color w:val="1B4F72"/>
          <w:sz w:val="22"/>
          <w:szCs w:val="22"/>
        </w:rPr>
        <w:t xml:space="preserve">0068  </w:t>
      </w:r>
      <w:r>
        <w:rPr>
          <w:rFonts w:ascii="Arial" w:cs="Arial" w:eastAsia="Arial" w:hAnsi="Arial"/>
          <w:sz w:val="22"/>
          <w:szCs w:val="22"/>
        </w:rPr>
        <w:t xml:space="preserve">Until formal external assessment occurs, MCC shall use carefully disciplined language in all public communications regarding external programme alignment:</w:t>
      </w:r>
    </w:p>
    <w:p>
      <w:pPr>
        <w:spacing w:after="120"/>
      </w:pPr>
      <w:r>
        <w:rPr>
          <w:rFonts w:ascii="Arial" w:cs="Arial" w:eastAsia="Arial" w:hAnsi="Arial"/>
          <w:b/>
          <w:bCs/>
          <w:color w:val="1B4F72"/>
          <w:sz w:val="22"/>
          <w:szCs w:val="22"/>
        </w:rPr>
        <w:t xml:space="preserve">0069  </w:t>
      </w:r>
      <w:r>
        <w:rPr>
          <w:rFonts w:ascii="Arial" w:cs="Arial" w:eastAsia="Arial" w:hAnsi="Arial"/>
          <w:sz w:val="22"/>
          <w:szCs w:val="22"/>
        </w:rPr>
        <w:t xml:space="preserve">MCC shall use the phrase 'designed to satisfy' or 'structured to satisfy' when describing alignment with external frameworks, which accurately reflects design intent but not formal external approval.</w:t>
      </w:r>
    </w:p>
    <w:p>
      <w:pPr>
        <w:spacing w:after="120"/>
      </w:pPr>
      <w:r>
        <w:rPr>
          <w:rFonts w:ascii="Arial" w:cs="Arial" w:eastAsia="Arial" w:hAnsi="Arial"/>
          <w:b/>
          <w:bCs/>
          <w:color w:val="1B4F72"/>
          <w:sz w:val="22"/>
          <w:szCs w:val="22"/>
        </w:rPr>
        <w:t xml:space="preserve">0070  </w:t>
      </w:r>
      <w:r>
        <w:rPr>
          <w:rFonts w:ascii="Arial" w:cs="Arial" w:eastAsia="Arial" w:hAnsi="Arial"/>
          <w:sz w:val="22"/>
          <w:szCs w:val="22"/>
        </w:rPr>
        <w:t xml:space="preserve">MCC shall use the phrase 'developed with the intention to support future assessment' or 'structured to support potential future eligibility' when describing aspirational alignment with external frameworks.</w:t>
      </w:r>
    </w:p>
    <w:p>
      <w:pPr>
        <w:spacing w:after="120"/>
      </w:pPr>
      <w:r>
        <w:rPr>
          <w:rFonts w:ascii="Arial" w:cs="Arial" w:eastAsia="Arial" w:hAnsi="Arial"/>
          <w:b/>
          <w:bCs/>
          <w:color w:val="1B4F72"/>
          <w:sz w:val="22"/>
          <w:szCs w:val="22"/>
        </w:rPr>
        <w:t xml:space="preserve">0071  </w:t>
      </w:r>
      <w:r>
        <w:rPr>
          <w:rFonts w:ascii="Arial" w:cs="Arial" w:eastAsia="Arial" w:hAnsi="Arial"/>
          <w:sz w:val="22"/>
          <w:szCs w:val="22"/>
        </w:rPr>
        <w:t xml:space="preserve">MCC shall never claim compliance with, conformity to, or equivalence with external regulatory frameworks unless formal external assessment has been completed and publicly documented.</w:t>
      </w:r>
    </w:p>
    <w:p>
      <w:pPr>
        <w:spacing w:after="120"/>
      </w:pPr>
      <w:r>
        <w:rPr>
          <w:rFonts w:ascii="Arial" w:cs="Arial" w:eastAsia="Arial" w:hAnsi="Arial"/>
          <w:b/>
          <w:bCs/>
          <w:color w:val="1B4F72"/>
          <w:sz w:val="22"/>
          <w:szCs w:val="22"/>
        </w:rPr>
        <w:t xml:space="preserve">0072  </w:t>
      </w:r>
      <w:r>
        <w:rPr>
          <w:rFonts w:ascii="Arial" w:cs="Arial" w:eastAsia="Arial" w:hAnsi="Arial"/>
          <w:sz w:val="22"/>
          <w:szCs w:val="22"/>
        </w:rPr>
        <w:t xml:space="preserve">Claims discipline applies equally to all external frameworks including but not limited to Article 6.4 of the Paris Agreement, voluntary carbon market standards, biodiversity credit standards, or any national or international regulatory programme.</w:t>
      </w:r>
    </w:p>
    <w:p>
      <w:pPr>
        <w:spacing w:after="120"/>
      </w:pPr>
      <w:r>
        <w:rPr>
          <w:rFonts w:ascii="Arial" w:cs="Arial" w:eastAsia="Arial" w:hAnsi="Arial"/>
          <w:b/>
          <w:bCs/>
          <w:color w:val="1B4F72"/>
          <w:sz w:val="22"/>
          <w:szCs w:val="22"/>
        </w:rPr>
        <w:t xml:space="preserve">0073  </w:t>
      </w:r>
      <w:r>
        <w:rPr>
          <w:rFonts w:ascii="Arial" w:cs="Arial" w:eastAsia="Arial" w:hAnsi="Arial"/>
          <w:sz w:val="22"/>
          <w:szCs w:val="22"/>
        </w:rPr>
        <w:t xml:space="preserve">External programme eligibility is acknowledged as a long-term aspiration that may occur in the future, subject to successful external assessment, but is not a current claim or guarantee.</w:t>
      </w:r>
    </w:p>
    <w:p>
      <w:pPr>
        <w:spacing w:after="120"/>
      </w:pPr>
      <w:r>
        <w:rPr>
          <w:rFonts w:ascii="Arial" w:cs="Arial" w:eastAsia="Arial" w:hAnsi="Arial"/>
          <w:b/>
          <w:bCs/>
          <w:color w:val="1B4F72"/>
          <w:sz w:val="22"/>
          <w:szCs w:val="22"/>
        </w:rPr>
        <w:t xml:space="preserve">0074  </w:t>
      </w:r>
      <w:r>
        <w:rPr>
          <w:rFonts w:ascii="Arial" w:cs="Arial" w:eastAsia="Arial" w:hAnsi="Arial"/>
          <w:sz w:val="22"/>
          <w:szCs w:val="22"/>
        </w:rPr>
        <w:t xml:space="preserve">All public marketing, website content, programme documentation, and stakeholder communications shall adhere strictly to this claims discipline.</w:t>
      </w:r>
    </w:p>
    <w:p>
      <w:pPr>
        <w:spacing w:after="120"/>
      </w:pPr>
      <w:r>
        <w:rPr>
          <w:rFonts w:ascii="Arial" w:cs="Arial" w:eastAsia="Arial" w:hAnsi="Arial"/>
          <w:b/>
          <w:bCs/>
          <w:color w:val="1B4F72"/>
          <w:sz w:val="22"/>
          <w:szCs w:val="22"/>
        </w:rPr>
        <w:t xml:space="preserve">0075  </w:t>
      </w:r>
      <w:r>
        <w:rPr>
          <w:rFonts w:ascii="Arial" w:cs="Arial" w:eastAsia="Arial" w:hAnsi="Arial"/>
          <w:sz w:val="22"/>
          <w:szCs w:val="22"/>
        </w:rPr>
        <w:t xml:space="preserve">The Board shall annually review all external claims for consistency with this section and shall correct any non-compliant claims.</w:t>
      </w:r>
    </w:p>
    <w:p>
      <w:pPr>
        <w:spacing w:after="120"/>
      </w:pPr>
      <w:r>
        <w:rPr>
          <w:rFonts w:ascii="Arial" w:cs="Arial" w:eastAsia="Arial" w:hAnsi="Arial"/>
          <w:b/>
          <w:bCs/>
          <w:color w:val="1B4F72"/>
          <w:sz w:val="22"/>
          <w:szCs w:val="22"/>
        </w:rPr>
        <w:t xml:space="preserve">0076  </w:t>
      </w:r>
      <w:r>
        <w:rPr>
          <w:rFonts w:ascii="Arial" w:cs="Arial" w:eastAsia="Arial" w:hAnsi="Arial"/>
          <w:sz w:val="22"/>
          <w:szCs w:val="22"/>
        </w:rPr>
        <w:t xml:space="preserve">This regulatory posture reflects MCC's commitment to credibility, transparency, and honest communication and shall not be interpreted as limiting MCC's eventual external programme engagement.</w:t>
      </w:r>
    </w:p>
    <w:p>
      <w:pPr>
        <w:spacing w:after="120"/>
      </w:pPr>
      <w:r>
        <w:rPr>
          <w:rFonts w:ascii="Arial" w:cs="Arial" w:eastAsia="Arial" w:hAnsi="Arial"/>
          <w:b/>
          <w:bCs/>
          <w:color w:val="1B4F72"/>
          <w:sz w:val="22"/>
          <w:szCs w:val="22"/>
        </w:rPr>
        <w:t xml:space="preserve">0077  </w:t>
      </w:r>
      <w:r>
        <w:rPr>
          <w:rFonts w:ascii="Arial" w:cs="Arial" w:eastAsia="Arial" w:hAnsi="Arial"/>
          <w:sz w:val="22"/>
          <w:szCs w:val="22"/>
        </w:rPr>
        <w:t xml:space="preserve">MCC shall proactively seek external programme assessment and conformity determination once operational history and evidence of programme quality are sufficiently documented.</w:t>
      </w:r>
    </w:p>
    <w:p>
      <w:r>
        <w:br w:type="page"/>
      </w:r>
    </w:p>
    <w:p>
      <w:pPr>
        <w:pStyle w:val="Heading1"/>
        <w:spacing w:before="360" w:after="240"/>
      </w:pPr>
      <w:r>
        <w:rPr>
          <w:rFonts w:ascii="Arial" w:cs="Arial" w:eastAsia="Arial" w:hAnsi="Arial"/>
          <w:b/>
          <w:bCs/>
          <w:color w:val="1B4F72"/>
          <w:sz w:val="32"/>
          <w:szCs w:val="32"/>
        </w:rPr>
        <w:t xml:space="preserve">DOCUMENT HIERARCHY</w:t>
      </w:r>
    </w:p>
    <w:p>
      <w:pPr>
        <w:spacing w:after="120"/>
      </w:pPr>
      <w:r>
        <w:rPr>
          <w:rFonts w:ascii="Arial" w:cs="Arial" w:eastAsia="Arial" w:hAnsi="Arial"/>
          <w:b/>
          <w:bCs/>
          <w:color w:val="1B4F72"/>
          <w:sz w:val="22"/>
          <w:szCs w:val="22"/>
        </w:rPr>
        <w:t xml:space="preserve">0078  </w:t>
      </w:r>
      <w:r>
        <w:rPr>
          <w:rFonts w:ascii="Arial" w:cs="Arial" w:eastAsia="Arial" w:hAnsi="Arial"/>
          <w:sz w:val="22"/>
          <w:szCs w:val="22"/>
        </w:rPr>
        <w:t xml:space="preserve">MCC operates under a five-tier document hierarchy that establishes authority levels, decision-making scope, and amendment procedures.</w:t>
      </w:r>
    </w:p>
    <w:p>
      <w:pPr>
        <w:spacing w:after="120"/>
      </w:pPr>
      <w:r>
        <w:rPr>
          <w:rFonts w:ascii="Arial" w:cs="Arial" w:eastAsia="Arial" w:hAnsi="Arial"/>
          <w:b/>
          <w:bCs/>
          <w:color w:val="1B4F72"/>
          <w:sz w:val="22"/>
          <w:szCs w:val="22"/>
        </w:rPr>
        <w:t xml:space="preserve">0079  </w:t>
      </w:r>
      <w:r>
        <w:rPr>
          <w:rFonts w:ascii="Arial" w:cs="Arial" w:eastAsia="Arial" w:hAnsi="Arial"/>
          <w:sz w:val="22"/>
          <w:szCs w:val="22"/>
        </w:rPr>
        <w:t xml:space="preserve">Tier 1 (Constitutional): MCC-001 (Charter and Constitution) is the supreme constitutional document and may be amended only through supermajority Board approval with documented stakeholder consultation and 90-day public notice.</w:t>
      </w:r>
    </w:p>
    <w:p>
      <w:pPr>
        <w:spacing w:after="120"/>
      </w:pPr>
      <w:r>
        <w:rPr>
          <w:rFonts w:ascii="Arial" w:cs="Arial" w:eastAsia="Arial" w:hAnsi="Arial"/>
          <w:b/>
          <w:bCs/>
          <w:color w:val="1B4F72"/>
          <w:sz w:val="22"/>
          <w:szCs w:val="22"/>
        </w:rPr>
        <w:t xml:space="preserve">0080  </w:t>
      </w:r>
      <w:r>
        <w:rPr>
          <w:rFonts w:ascii="Arial" w:cs="Arial" w:eastAsia="Arial" w:hAnsi="Arial"/>
          <w:sz w:val="22"/>
          <w:szCs w:val="22"/>
        </w:rPr>
        <w:t xml:space="preserve">Tier 2 (Governance): MCC-700 (Governance Framework) establishes the governance structure, roles, responsibilities, and decision-making procedures and may be amended through Board approval with stakeholder consultation and 60-day public notice.</w:t>
      </w:r>
    </w:p>
    <w:p>
      <w:pPr>
        <w:spacing w:after="120"/>
      </w:pPr>
      <w:r>
        <w:rPr>
          <w:rFonts w:ascii="Arial" w:cs="Arial" w:eastAsia="Arial" w:hAnsi="Arial"/>
          <w:b/>
          <w:bCs/>
          <w:color w:val="1B4F72"/>
          <w:sz w:val="22"/>
          <w:szCs w:val="22"/>
        </w:rPr>
        <w:t xml:space="preserve">0081  </w:t>
      </w:r>
      <w:r>
        <w:rPr>
          <w:rFonts w:ascii="Arial" w:cs="Arial" w:eastAsia="Arial" w:hAnsi="Arial"/>
          <w:sz w:val="22"/>
          <w:szCs w:val="22"/>
        </w:rPr>
        <w:t xml:space="preserve">Tier 3 (Programme Rules): MCC-100 series documents establish programme-level rules including programme eligibility, credit types, baseline requirements, and operational procedures and may be amended through Board or delegated committee approval with stakeholder consultation and 30-day public notice.</w:t>
      </w:r>
    </w:p>
    <w:p>
      <w:pPr>
        <w:spacing w:after="120"/>
      </w:pPr>
      <w:r>
        <w:rPr>
          <w:rFonts w:ascii="Arial" w:cs="Arial" w:eastAsia="Arial" w:hAnsi="Arial"/>
          <w:b/>
          <w:bCs/>
          <w:color w:val="1B4F72"/>
          <w:sz w:val="22"/>
          <w:szCs w:val="22"/>
        </w:rPr>
        <w:t xml:space="preserve">0082  </w:t>
      </w:r>
      <w:r>
        <w:rPr>
          <w:rFonts w:ascii="Arial" w:cs="Arial" w:eastAsia="Arial" w:hAnsi="Arial"/>
          <w:sz w:val="22"/>
          <w:szCs w:val="22"/>
        </w:rPr>
        <w:t xml:space="preserve">Tier 4 (Technical Standards): MCC-200 (Methodology Framework) and individual methodologies (M001-M010) establish technical standards for credit quantification, verification, and integrity and may be amended through Methodology Review Committee approval with peer review and stakeholder consultation and 30-day public notice.</w:t>
      </w:r>
    </w:p>
    <w:p>
      <w:pPr>
        <w:spacing w:after="120"/>
      </w:pPr>
      <w:r>
        <w:rPr>
          <w:rFonts w:ascii="Arial" w:cs="Arial" w:eastAsia="Arial" w:hAnsi="Arial"/>
          <w:b/>
          <w:bCs/>
          <w:color w:val="1B4F72"/>
          <w:sz w:val="22"/>
          <w:szCs w:val="22"/>
        </w:rPr>
        <w:t xml:space="preserve">0083  </w:t>
      </w:r>
      <w:r>
        <w:rPr>
          <w:rFonts w:ascii="Arial" w:cs="Arial" w:eastAsia="Arial" w:hAnsi="Arial"/>
          <w:sz w:val="22"/>
          <w:szCs w:val="22"/>
        </w:rPr>
        <w:t xml:space="preserve">Tier 5 (Operational Policies): Cross-cutting frameworks including MCC-ESS-v1.0 (Environmental and Social Safeguards Standard), MCC-SDCF-v1.0 (Sustainable Development Contribution Framework), MCC-HCA-v1.0 (Host Country Authorisation Framework), MCC-CADCP-v1.0 (Corresponding Adjustment and Double Counting Prevention Framework), MCC-BPM (Best Practices Manual), MCC-ORS (Operations and Registry Standards), and MCC-PPF (Project Preparation Facility procedures) establish operational and technical guidance and may be amended through operational team approval with Board oversight and 14-day notice.</w:t>
      </w:r>
    </w:p>
    <w:p>
      <w:pPr>
        <w:spacing w:after="120"/>
      </w:pPr>
      <w:r>
        <w:rPr>
          <w:rFonts w:ascii="Arial" w:cs="Arial" w:eastAsia="Arial" w:hAnsi="Arial"/>
          <w:b/>
          <w:bCs/>
          <w:color w:val="1B4F72"/>
          <w:sz w:val="22"/>
          <w:szCs w:val="22"/>
        </w:rPr>
        <w:t xml:space="preserve">0084  </w:t>
      </w:r>
      <w:r>
        <w:rPr>
          <w:rFonts w:ascii="Arial" w:cs="Arial" w:eastAsia="Arial" w:hAnsi="Arial"/>
          <w:sz w:val="22"/>
          <w:szCs w:val="22"/>
        </w:rPr>
        <w:t xml:space="preserve">Lower-tier documents shall not contradict higher-tier documents; any conflict shall be resolved in favour of the higher tier.</w:t>
      </w:r>
    </w:p>
    <w:p>
      <w:pPr>
        <w:spacing w:after="120"/>
      </w:pPr>
      <w:r>
        <w:rPr>
          <w:rFonts w:ascii="Arial" w:cs="Arial" w:eastAsia="Arial" w:hAnsi="Arial"/>
          <w:b/>
          <w:bCs/>
          <w:color w:val="1B4F72"/>
          <w:sz w:val="22"/>
          <w:szCs w:val="22"/>
        </w:rPr>
        <w:t xml:space="preserve">0085  </w:t>
      </w:r>
      <w:r>
        <w:rPr>
          <w:rFonts w:ascii="Arial" w:cs="Arial" w:eastAsia="Arial" w:hAnsi="Arial"/>
          <w:sz w:val="22"/>
          <w:szCs w:val="22"/>
        </w:rPr>
        <w:t xml:space="preserve">Each document shall include a clear identification of its tier level, authority, and amendment procedure.</w:t>
      </w:r>
    </w:p>
    <w:p>
      <w:pPr>
        <w:spacing w:after="120"/>
      </w:pPr>
      <w:r>
        <w:rPr>
          <w:rFonts w:ascii="Arial" w:cs="Arial" w:eastAsia="Arial" w:hAnsi="Arial"/>
          <w:b/>
          <w:bCs/>
          <w:color w:val="1B4F72"/>
          <w:sz w:val="22"/>
          <w:szCs w:val="22"/>
        </w:rPr>
        <w:t xml:space="preserve">0086  </w:t>
      </w:r>
      <w:r>
        <w:rPr>
          <w:rFonts w:ascii="Arial" w:cs="Arial" w:eastAsia="Arial" w:hAnsi="Arial"/>
          <w:sz w:val="22"/>
          <w:szCs w:val="22"/>
        </w:rPr>
        <w:t xml:space="preserve">The MCC Board shall maintain and publish a document registry showing all current documents, versions, effective dates, and amendment history.</w:t>
      </w:r>
    </w:p>
    <w:p>
      <w:pPr>
        <w:spacing w:after="120"/>
      </w:pPr>
      <w:r>
        <w:rPr>
          <w:rFonts w:ascii="Arial" w:cs="Arial" w:eastAsia="Arial" w:hAnsi="Arial"/>
          <w:b/>
          <w:bCs/>
          <w:color w:val="1B4F72"/>
          <w:sz w:val="22"/>
          <w:szCs w:val="22"/>
        </w:rPr>
        <w:t xml:space="preserve">0087  </w:t>
      </w:r>
      <w:r>
        <w:rPr>
          <w:rFonts w:ascii="Arial" w:cs="Arial" w:eastAsia="Arial" w:hAnsi="Arial"/>
          <w:sz w:val="22"/>
          <w:szCs w:val="22"/>
        </w:rPr>
        <w:t xml:space="preserve">All documents shall be publicly available and freely accessible in open formats.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872"/>
        <w:gridCol w:w="1872"/>
        <w:gridCol w:w="1872"/>
        <w:gridCol w:w="1872"/>
        <w:gridCol w:w="1872"/>
      </w:tblGrid>
      <w:tr>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Tier</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Document Type</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Examples</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Amendment Authority</w:t>
            </w:r>
          </w:p>
        </w:tc>
        <w:tc>
          <w:tcPr>
            <w:tcW w:type="dxa" w:w="1872"/>
            <w:tcBorders>
              <w:top w:val="single" w:color="CCCCCC" w:sz="1"/>
              <w:left w:val="single" w:color="CCCCCC" w:sz="1"/>
              <w:bottom w:val="single" w:color="CCCCCC" w:sz="1"/>
              <w:right w:val="single" w:color="CCCCCC" w:sz="1"/>
            </w:tcBorders>
            <w:shd w:fill="1B4F72" w:val="clear"/>
            <w:tcMar>
              <w:top w:type="dxa" w:w="80"/>
              <w:left w:type="dxa" w:w="120"/>
              <w:bottom w:type="dxa" w:w="80"/>
              <w:right w:type="dxa" w:w="120"/>
            </w:tcMar>
          </w:tcPr>
          <w:p>
            <w:r>
              <w:rPr>
                <w:rFonts w:ascii="Arial" w:cs="Arial" w:eastAsia="Arial" w:hAnsi="Arial"/>
                <w:b/>
                <w:bCs/>
                <w:color w:val="FFFFFF"/>
                <w:sz w:val="20"/>
                <w:szCs w:val="20"/>
              </w:rPr>
              <w:t xml:space="preserve">Public Notice</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Constitutional</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MCC-001</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Board supermajority + consultation</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90 days</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2</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Governance</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MCC-700</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Board + consultation</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60 days</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3</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Programme Rules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MCC-100 series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Board or delegated committee</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30 days</w:t>
            </w:r>
          </w:p>
        </w:tc>
      </w:tr>
      <w:tr>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4</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Technical Standards</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MCC-200, M001–M010</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Methodology Review Committee + peer review</w:t>
            </w:r>
          </w:p>
        </w:tc>
        <w:tc>
          <w:tcPr>
            <w:tcW w:type="dxa" w:w="1872"/>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Arial" w:cs="Arial" w:eastAsia="Arial" w:hAnsi="Arial"/>
                <w:sz w:val="20"/>
                <w:szCs w:val="20"/>
              </w:rPr>
              <w:t xml:space="preserve">30 days</w:t>
            </w:r>
          </w:p>
        </w:tc>
      </w:tr>
      <w:tr>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5</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Operational Policies</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MCC-ESS, MCC-SDCF, MCC-HCA, MCC-CADCP, MCC-BPM, MCC-ORS, MCC-PPF</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Operational teams with Board oversight</w:t>
            </w:r>
          </w:p>
        </w:tc>
        <w:tc>
          <w:tcPr>
            <w:tcW w:type="dxa" w:w="1872"/>
            <w:tcBorders>
              <w:top w:val="single" w:color="CCCCCC" w:sz="1"/>
              <w:left w:val="single" w:color="CCCCCC" w:sz="1"/>
              <w:bottom w:val="single" w:color="CCCCCC" w:sz="1"/>
              <w:right w:val="single" w:color="CCCCCC" w:sz="1"/>
            </w:tcBorders>
            <w:shd w:fill="EBF5FB" w:val="clear"/>
            <w:tcMar>
              <w:top w:type="dxa" w:w="80"/>
              <w:left w:type="dxa" w:w="120"/>
              <w:bottom w:type="dxa" w:w="80"/>
              <w:right w:type="dxa" w:w="120"/>
            </w:tcMar>
          </w:tcPr>
          <w:p>
            <w:r>
              <w:rPr>
                <w:rFonts w:ascii="Arial" w:cs="Arial" w:eastAsia="Arial" w:hAnsi="Arial"/>
                <w:sz w:val="20"/>
                <w:szCs w:val="20"/>
              </w:rPr>
              <w:t xml:space="preserve">14 days</w:t>
            </w:r>
          </w:p>
        </w:tc>
      </w:tr>
    </w:tbl>
    <w:p>
      <w:pPr>
        <w:spacing w:after="200"/>
      </w:pPr>
    </w:p>
    <w:p>
      <w:r>
        <w:br w:type="page"/>
      </w:r>
    </w:p>
    <w:p>
      <w:pPr>
        <w:pStyle w:val="Heading1"/>
        <w:spacing w:before="360" w:after="240"/>
      </w:pPr>
      <w:r>
        <w:rPr>
          <w:rFonts w:ascii="Arial" w:cs="Arial" w:eastAsia="Arial" w:hAnsi="Arial"/>
          <w:b/>
          <w:bCs/>
          <w:color w:val="1B4F72"/>
          <w:sz w:val="32"/>
          <w:szCs w:val="32"/>
        </w:rPr>
        <w:t xml:space="preserve">AMENDMENT PROCEDURE</w:t>
      </w:r>
    </w:p>
    <w:p>
      <w:pPr>
        <w:spacing w:after="120"/>
      </w:pPr>
      <w:r>
        <w:rPr>
          <w:rFonts w:ascii="Arial" w:cs="Arial" w:eastAsia="Arial" w:hAnsi="Arial"/>
          <w:b/>
          <w:bCs/>
          <w:color w:val="1B4F72"/>
          <w:sz w:val="22"/>
          <w:szCs w:val="22"/>
        </w:rPr>
        <w:t xml:space="preserve">0088  </w:t>
      </w:r>
      <w:r>
        <w:rPr>
          <w:rFonts w:ascii="Arial" w:cs="Arial" w:eastAsia="Arial" w:hAnsi="Arial"/>
          <w:sz w:val="22"/>
          <w:szCs w:val="22"/>
        </w:rPr>
        <w:t xml:space="preserve">This Charter (MCC-001) may be amended only through a formal amendment procedure designed to ensure deliberation, stakeholder engagement, and legitimacy.</w:t>
      </w:r>
    </w:p>
    <w:p>
      <w:pPr>
        <w:spacing w:after="120"/>
      </w:pPr>
      <w:r>
        <w:rPr>
          <w:rFonts w:ascii="Arial" w:cs="Arial" w:eastAsia="Arial" w:hAnsi="Arial"/>
          <w:b/>
          <w:bCs/>
          <w:color w:val="1B4F72"/>
          <w:sz w:val="22"/>
          <w:szCs w:val="22"/>
        </w:rPr>
        <w:t xml:space="preserve">0089  </w:t>
      </w:r>
      <w:r>
        <w:rPr>
          <w:rFonts w:ascii="Arial" w:cs="Arial" w:eastAsia="Arial" w:hAnsi="Arial"/>
          <w:sz w:val="22"/>
          <w:szCs w:val="22"/>
        </w:rPr>
        <w:t xml:space="preserve">Any proposed amendment to this Charter shall be submitted to the MCC Board with documented rationale and impact analysis.</w:t>
      </w:r>
    </w:p>
    <w:p>
      <w:pPr>
        <w:spacing w:after="120"/>
      </w:pPr>
      <w:r>
        <w:rPr>
          <w:rFonts w:ascii="Arial" w:cs="Arial" w:eastAsia="Arial" w:hAnsi="Arial"/>
          <w:b/>
          <w:bCs/>
          <w:color w:val="1B4F72"/>
          <w:sz w:val="22"/>
          <w:szCs w:val="22"/>
        </w:rPr>
        <w:t xml:space="preserve">0090  </w:t>
      </w:r>
      <w:r>
        <w:rPr>
          <w:rFonts w:ascii="Arial" w:cs="Arial" w:eastAsia="Arial" w:hAnsi="Arial"/>
          <w:sz w:val="22"/>
          <w:szCs w:val="22"/>
        </w:rPr>
        <w:t xml:space="preserve">The Board shall cause the proposed amendment to be circulated for public consultation for a minimum of 90 days.</w:t>
      </w:r>
    </w:p>
    <w:p>
      <w:pPr>
        <w:spacing w:after="120"/>
      </w:pPr>
      <w:r>
        <w:rPr>
          <w:rFonts w:ascii="Arial" w:cs="Arial" w:eastAsia="Arial" w:hAnsi="Arial"/>
          <w:b/>
          <w:bCs/>
          <w:color w:val="1B4F72"/>
          <w:sz w:val="22"/>
          <w:szCs w:val="22"/>
        </w:rPr>
        <w:t xml:space="preserve">0091  </w:t>
      </w:r>
      <w:r>
        <w:rPr>
          <w:rFonts w:ascii="Arial" w:cs="Arial" w:eastAsia="Arial" w:hAnsi="Arial"/>
          <w:sz w:val="22"/>
          <w:szCs w:val="22"/>
        </w:rPr>
        <w:t xml:space="preserve">During the consultation period, the Board shall hold at least one public stakeholder forum inviting comments from project developers, host countries, environmental organisations, VVBs, scientists, and civil society.</w:t>
      </w:r>
    </w:p>
    <w:p>
      <w:pPr>
        <w:spacing w:after="120"/>
      </w:pPr>
      <w:r>
        <w:rPr>
          <w:rFonts w:ascii="Arial" w:cs="Arial" w:eastAsia="Arial" w:hAnsi="Arial"/>
          <w:b/>
          <w:bCs/>
          <w:color w:val="1B4F72"/>
          <w:sz w:val="22"/>
          <w:szCs w:val="22"/>
        </w:rPr>
        <w:t xml:space="preserve">0092  </w:t>
      </w:r>
      <w:r>
        <w:rPr>
          <w:rFonts w:ascii="Arial" w:cs="Arial" w:eastAsia="Arial" w:hAnsi="Arial"/>
          <w:sz w:val="22"/>
          <w:szCs w:val="22"/>
        </w:rPr>
        <w:t xml:space="preserve">Following the consultation period, the Board shall consider all comments received and shall prepare a written response to material comments.</w:t>
      </w:r>
    </w:p>
    <w:p>
      <w:pPr>
        <w:spacing w:after="120"/>
      </w:pPr>
      <w:r>
        <w:rPr>
          <w:rFonts w:ascii="Arial" w:cs="Arial" w:eastAsia="Arial" w:hAnsi="Arial"/>
          <w:b/>
          <w:bCs/>
          <w:color w:val="1B4F72"/>
          <w:sz w:val="22"/>
          <w:szCs w:val="22"/>
        </w:rPr>
        <w:t xml:space="preserve">0093  </w:t>
      </w:r>
      <w:r>
        <w:rPr>
          <w:rFonts w:ascii="Arial" w:cs="Arial" w:eastAsia="Arial" w:hAnsi="Arial"/>
          <w:sz w:val="22"/>
          <w:szCs w:val="22"/>
        </w:rPr>
        <w:t xml:space="preserve">The Board shall vote on the proposed amendment using a supermajority threshold (at least two-thirds of Board members present and voting).</w:t>
      </w:r>
    </w:p>
    <w:p>
      <w:pPr>
        <w:spacing w:after="120"/>
      </w:pPr>
      <w:r>
        <w:rPr>
          <w:rFonts w:ascii="Arial" w:cs="Arial" w:eastAsia="Arial" w:hAnsi="Arial"/>
          <w:b/>
          <w:bCs/>
          <w:color w:val="1B4F72"/>
          <w:sz w:val="22"/>
          <w:szCs w:val="22"/>
        </w:rPr>
        <w:t xml:space="preserve">0094  </w:t>
      </w:r>
      <w:r>
        <w:rPr>
          <w:rFonts w:ascii="Arial" w:cs="Arial" w:eastAsia="Arial" w:hAnsi="Arial"/>
          <w:sz w:val="22"/>
          <w:szCs w:val="22"/>
        </w:rPr>
        <w:t xml:space="preserve">A supermajority vote shall be required for any amendment that alters fundamental principles, governance structure, or programme commitments.</w:t>
      </w:r>
    </w:p>
    <w:p>
      <w:pPr>
        <w:spacing w:after="120"/>
      </w:pPr>
      <w:r>
        <w:rPr>
          <w:rFonts w:ascii="Arial" w:cs="Arial" w:eastAsia="Arial" w:hAnsi="Arial"/>
          <w:b/>
          <w:bCs/>
          <w:color w:val="1B4F72"/>
          <w:sz w:val="22"/>
          <w:szCs w:val="22"/>
        </w:rPr>
        <w:t xml:space="preserve">0095  </w:t>
      </w:r>
      <w:r>
        <w:rPr>
          <w:rFonts w:ascii="Arial" w:cs="Arial" w:eastAsia="Arial" w:hAnsi="Arial"/>
          <w:sz w:val="22"/>
          <w:szCs w:val="22"/>
        </w:rPr>
        <w:t xml:space="preserve">Upon supermajority approval, the amended Charter shall be effective on a date specified in the amendment resolution, which shall be no less than 30 days from approval.</w:t>
      </w:r>
    </w:p>
    <w:p>
      <w:pPr>
        <w:spacing w:after="120"/>
      </w:pPr>
      <w:r>
        <w:rPr>
          <w:rFonts w:ascii="Arial" w:cs="Arial" w:eastAsia="Arial" w:hAnsi="Arial"/>
          <w:b/>
          <w:bCs/>
          <w:color w:val="1B4F72"/>
          <w:sz w:val="22"/>
          <w:szCs w:val="22"/>
        </w:rPr>
        <w:t xml:space="preserve">0096  </w:t>
      </w:r>
      <w:r>
        <w:rPr>
          <w:rFonts w:ascii="Arial" w:cs="Arial" w:eastAsia="Arial" w:hAnsi="Arial"/>
          <w:sz w:val="22"/>
          <w:szCs w:val="22"/>
        </w:rPr>
        <w:t xml:space="preserve">All amendments shall be publicly announced and documented, and the full amendment history shall be maintained in the Charter archive.</w:t>
      </w:r>
    </w:p>
    <w:p>
      <w:pPr>
        <w:spacing w:after="120"/>
      </w:pPr>
      <w:r>
        <w:rPr>
          <w:rFonts w:ascii="Arial" w:cs="Arial" w:eastAsia="Arial" w:hAnsi="Arial"/>
          <w:b/>
          <w:bCs/>
          <w:color w:val="1B4F72"/>
          <w:sz w:val="22"/>
          <w:szCs w:val="22"/>
        </w:rPr>
        <w:t xml:space="preserve">0097  </w:t>
      </w:r>
      <w:r>
        <w:rPr>
          <w:rFonts w:ascii="Arial" w:cs="Arial" w:eastAsia="Arial" w:hAnsi="Arial"/>
          <w:sz w:val="22"/>
          <w:szCs w:val="22"/>
        </w:rPr>
        <w:t xml:space="preserve">This amendment procedure reflects MCC's commitment to democratic governance and stakeholder legitimacy and shall not be bypassed or abbreviated.</w:t>
      </w:r>
    </w:p>
    <w:sectPr>
      <w:headerReference w:type="default" r:id="rId6"/>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999999"/>
        <w:sz w:val="18"/>
        <w:szCs w:val="18"/>
      </w:rPr>
      <w:t xml:space="preserve">Marine Conservation Credits | Page </w:t>
    </w:r>
    <w:r>
      <w:rPr>
        <w:rFonts w:ascii="Arial" w:cs="Arial" w:eastAsia="Arial" w:hAnsi="Arial"/>
        <w:color w:val="999999"/>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2E86C1" w:sz="6" w:space="1"/>
      </w:pBdr>
      <w:jc w:val="right"/>
    </w:pPr>
    <w:r>
      <w:rPr>
        <w:rFonts w:ascii="Arial" w:cs="Arial" w:eastAsia="Arial" w:hAnsi="Arial"/>
        <w:color w:val="2E86C1"/>
        <w:sz w:val="18"/>
        <w:szCs w:val="18"/>
      </w:rPr>
      <w:t xml:space="preserve">MCC-001 Charter and Constitution v2.0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4"/>
        <w:szCs w:val="24"/>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60" w:after="240"/>
      <w:outlineLvl w:val="0"/>
    </w:pPr>
    <w:rPr>
      <w:rFonts w:ascii="Arial" w:cs="Arial" w:eastAsia="Arial" w:hAnsi="Arial"/>
      <w:b/>
      <w:bCs/>
      <w:color w:val="1B4F72"/>
      <w:sz w:val="32"/>
      <w:szCs w:val="32"/>
    </w:rPr>
  </w:style>
  <w:style w:type="paragraph" w:styleId="Heading2">
    <w:name w:val="Heading 2"/>
    <w:basedOn w:val="Normal"/>
    <w:next w:val="Normal"/>
    <w:qFormat/>
    <w:pPr>
      <w:spacing w:before="240" w:after="160"/>
      <w:outlineLvl w:val="1"/>
    </w:pPr>
    <w:rPr>
      <w:rFonts w:ascii="Arial" w:cs="Arial" w:eastAsia="Arial" w:hAnsi="Arial"/>
      <w:b/>
      <w:bCs/>
      <w:color w:val="2E86C1"/>
      <w:sz w:val="28"/>
      <w:szCs w:val="28"/>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2026-03-21T13:26:33.271Z</dcterms:created>
  <dcterms:modified xsi:type="dcterms:W3CDTF">2026-03-21T13:26:33.288Z</dcterms:modified>
</cp:coreProperties>
</file>

<file path=docProps/custom.xml><?xml version="1.0" encoding="utf-8"?>
<Properties xmlns="http://schemas.openxmlformats.org/officeDocument/2006/custom-properties" xmlns:vt="http://schemas.openxmlformats.org/officeDocument/2006/docPropsVTypes"/>
</file>